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E93C" w14:textId="77777777" w:rsidR="00BA375A" w:rsidRPr="00F77BAC" w:rsidRDefault="00BA375A" w:rsidP="00DA2538">
      <w:pPr>
        <w:jc w:val="both"/>
        <w:rPr>
          <w:color w:val="000000" w:themeColor="text1"/>
          <w:lang w:val="de-CH"/>
        </w:rPr>
      </w:pPr>
    </w:p>
    <w:p w14:paraId="2E4F047A" w14:textId="77777777" w:rsidR="00BA375A" w:rsidRPr="00F77BAC" w:rsidRDefault="00BA375A" w:rsidP="00DA2538">
      <w:pPr>
        <w:jc w:val="both"/>
        <w:rPr>
          <w:color w:val="000000" w:themeColor="text1"/>
          <w:lang w:val="de-CH"/>
        </w:rPr>
      </w:pPr>
    </w:p>
    <w:p w14:paraId="42E80F01" w14:textId="77777777" w:rsidR="00BA375A" w:rsidRPr="00F77BAC" w:rsidRDefault="00BA375A" w:rsidP="00DA2538">
      <w:pPr>
        <w:jc w:val="both"/>
        <w:rPr>
          <w:color w:val="000000" w:themeColor="text1"/>
          <w:lang w:val="de-CH"/>
        </w:rPr>
      </w:pPr>
    </w:p>
    <w:p w14:paraId="6B33AB1E" w14:textId="77777777" w:rsidR="00BA375A" w:rsidRPr="00F77BAC" w:rsidRDefault="00BA375A" w:rsidP="00DA2538">
      <w:pPr>
        <w:jc w:val="both"/>
        <w:rPr>
          <w:color w:val="000000" w:themeColor="text1"/>
          <w:lang w:val="de-CH"/>
        </w:rPr>
      </w:pPr>
    </w:p>
    <w:p w14:paraId="6D475216" w14:textId="77777777" w:rsidR="00BA375A" w:rsidRPr="00F77BAC" w:rsidRDefault="00BA375A" w:rsidP="00DA2538">
      <w:pPr>
        <w:jc w:val="both"/>
        <w:rPr>
          <w:color w:val="000000" w:themeColor="text1"/>
          <w:lang w:val="de-CH"/>
        </w:rPr>
      </w:pPr>
    </w:p>
    <w:p w14:paraId="7BC90564" w14:textId="77777777" w:rsidR="00BA375A" w:rsidRPr="00F77BAC" w:rsidRDefault="00BA375A" w:rsidP="00DA2538">
      <w:pPr>
        <w:jc w:val="both"/>
        <w:rPr>
          <w:color w:val="000000" w:themeColor="text1"/>
          <w:lang w:val="de-CH"/>
        </w:rPr>
      </w:pPr>
    </w:p>
    <w:p w14:paraId="7CC40B32" w14:textId="6F96495C" w:rsidR="004413C9" w:rsidRPr="00F77BAC" w:rsidRDefault="004F3DEB" w:rsidP="004413C9">
      <w:pPr>
        <w:spacing w:after="0"/>
        <w:rPr>
          <w:b/>
          <w:color w:val="000000" w:themeColor="text1"/>
          <w:sz w:val="44"/>
          <w:szCs w:val="44"/>
          <w:lang w:val="de-CH"/>
        </w:rPr>
      </w:pPr>
      <w:r w:rsidRPr="00F77BAC">
        <w:rPr>
          <w:b/>
          <w:color w:val="000000" w:themeColor="text1"/>
          <w:sz w:val="44"/>
          <w:szCs w:val="44"/>
          <w:lang w:val="de-CH"/>
        </w:rPr>
        <w:t>Anwendungsreglement</w:t>
      </w:r>
      <w:r w:rsidR="00276BF5" w:rsidRPr="00F77BAC">
        <w:rPr>
          <w:b/>
          <w:color w:val="000000" w:themeColor="text1"/>
          <w:sz w:val="44"/>
          <w:szCs w:val="44"/>
          <w:lang w:val="de-CH"/>
        </w:rPr>
        <w:t xml:space="preserve"> </w:t>
      </w:r>
      <w:r w:rsidR="00BA375A" w:rsidRPr="00F77BAC">
        <w:rPr>
          <w:b/>
          <w:color w:val="000000" w:themeColor="text1"/>
          <w:sz w:val="44"/>
          <w:szCs w:val="44"/>
          <w:lang w:val="de-CH"/>
        </w:rPr>
        <w:br/>
      </w:r>
      <w:r w:rsidRPr="00F77BAC">
        <w:rPr>
          <w:b/>
          <w:color w:val="000000" w:themeColor="text1"/>
          <w:sz w:val="44"/>
          <w:szCs w:val="44"/>
          <w:lang w:val="de-CH"/>
        </w:rPr>
        <w:t>des Push-Innovationsschecks</w:t>
      </w:r>
      <w:r w:rsidR="000D0B7F" w:rsidRPr="00F77BAC">
        <w:rPr>
          <w:b/>
          <w:color w:val="000000" w:themeColor="text1"/>
          <w:sz w:val="44"/>
          <w:szCs w:val="44"/>
          <w:lang w:val="de-CH"/>
        </w:rPr>
        <w:t xml:space="preserve"> </w:t>
      </w:r>
    </w:p>
    <w:p w14:paraId="509B823C" w14:textId="1DCDD729" w:rsidR="008653F5" w:rsidRPr="00F77BAC" w:rsidRDefault="000D0B7F" w:rsidP="004413C9">
      <w:pPr>
        <w:spacing w:after="0"/>
        <w:rPr>
          <w:b/>
          <w:color w:val="000000" w:themeColor="text1"/>
          <w:sz w:val="44"/>
          <w:szCs w:val="44"/>
          <w:lang w:val="de-CH"/>
        </w:rPr>
      </w:pPr>
      <w:r w:rsidRPr="00F77BAC">
        <w:rPr>
          <w:b/>
          <w:color w:val="000000" w:themeColor="text1"/>
          <w:sz w:val="44"/>
          <w:szCs w:val="44"/>
          <w:lang w:val="de-CH"/>
        </w:rPr>
        <w:t>(CPI)</w:t>
      </w:r>
    </w:p>
    <w:p w14:paraId="10E1CE78" w14:textId="11367610" w:rsidR="00276BF5" w:rsidRPr="00F77BAC" w:rsidRDefault="004F3DEB" w:rsidP="00D13DA2">
      <w:pPr>
        <w:spacing w:before="240"/>
        <w:rPr>
          <w:color w:val="000000" w:themeColor="text1"/>
          <w:sz w:val="32"/>
          <w:szCs w:val="32"/>
          <w:lang w:val="de-CH"/>
        </w:rPr>
      </w:pPr>
      <w:r w:rsidRPr="00F77BAC">
        <w:rPr>
          <w:color w:val="000000" w:themeColor="text1"/>
          <w:sz w:val="32"/>
          <w:szCs w:val="32"/>
          <w:lang w:val="de-CH"/>
        </w:rPr>
        <w:t>Umsetzungsprogramm</w:t>
      </w:r>
      <w:r w:rsidR="00276BF5" w:rsidRPr="00F77BAC">
        <w:rPr>
          <w:color w:val="000000" w:themeColor="text1"/>
          <w:sz w:val="32"/>
          <w:szCs w:val="32"/>
          <w:lang w:val="de-CH"/>
        </w:rPr>
        <w:t xml:space="preserve"> N</w:t>
      </w:r>
      <w:r w:rsidRPr="00F77BAC">
        <w:rPr>
          <w:color w:val="000000" w:themeColor="text1"/>
          <w:sz w:val="32"/>
          <w:szCs w:val="32"/>
          <w:lang w:val="de-CH"/>
        </w:rPr>
        <w:t>RP</w:t>
      </w:r>
      <w:r w:rsidR="00276BF5" w:rsidRPr="00F77BAC">
        <w:rPr>
          <w:color w:val="000000" w:themeColor="text1"/>
          <w:sz w:val="32"/>
          <w:szCs w:val="32"/>
          <w:lang w:val="de-CH"/>
        </w:rPr>
        <w:t xml:space="preserve"> </w:t>
      </w:r>
      <w:r w:rsidR="00C41788" w:rsidRPr="00F77BAC">
        <w:rPr>
          <w:color w:val="000000" w:themeColor="text1"/>
          <w:sz w:val="32"/>
          <w:szCs w:val="32"/>
          <w:lang w:val="de-CH"/>
        </w:rPr>
        <w:t>2024-202</w:t>
      </w:r>
      <w:r w:rsidR="003C7067" w:rsidRPr="00F77BAC">
        <w:rPr>
          <w:color w:val="000000" w:themeColor="text1"/>
          <w:sz w:val="32"/>
          <w:szCs w:val="32"/>
          <w:lang w:val="de-CH"/>
        </w:rPr>
        <w:t>7</w:t>
      </w:r>
      <w:r w:rsidR="00AD6EEF" w:rsidRPr="00F77BAC">
        <w:rPr>
          <w:color w:val="000000" w:themeColor="text1"/>
          <w:sz w:val="32"/>
          <w:szCs w:val="32"/>
          <w:lang w:val="de-CH"/>
        </w:rPr>
        <w:br/>
      </w:r>
      <w:r w:rsidRPr="00F77BAC">
        <w:rPr>
          <w:color w:val="000000" w:themeColor="text1"/>
          <w:sz w:val="32"/>
          <w:szCs w:val="32"/>
          <w:lang w:val="de-CH"/>
        </w:rPr>
        <w:t>des Kantons Freiburg</w:t>
      </w:r>
    </w:p>
    <w:p w14:paraId="39AAEAE7" w14:textId="6D026693" w:rsidR="00276BF5" w:rsidRPr="00F77BAC" w:rsidRDefault="00276BF5" w:rsidP="00DA2538">
      <w:pPr>
        <w:jc w:val="both"/>
        <w:rPr>
          <w:color w:val="000000" w:themeColor="text1"/>
          <w:lang w:val="de-CH"/>
        </w:rPr>
      </w:pPr>
    </w:p>
    <w:p w14:paraId="1025FA42" w14:textId="0D51E917" w:rsidR="00276BF5" w:rsidRPr="00F77BAC" w:rsidRDefault="00276BF5" w:rsidP="00DA2538">
      <w:pPr>
        <w:jc w:val="both"/>
        <w:rPr>
          <w:color w:val="000000" w:themeColor="text1"/>
          <w:lang w:val="de-CH"/>
        </w:rPr>
      </w:pPr>
      <w:r w:rsidRPr="00F77BAC">
        <w:rPr>
          <w:color w:val="000000" w:themeColor="text1"/>
          <w:lang w:val="de-CH"/>
        </w:rPr>
        <w:br w:type="page"/>
      </w:r>
    </w:p>
    <w:p w14:paraId="3082D5B2" w14:textId="288B2A06" w:rsidR="00276BF5" w:rsidRPr="00F77BAC" w:rsidRDefault="004F3DEB" w:rsidP="00DA2538">
      <w:pPr>
        <w:pStyle w:val="Titre1"/>
        <w:rPr>
          <w:lang w:val="de-CH"/>
        </w:rPr>
      </w:pPr>
      <w:bookmarkStart w:id="0" w:name="_Hlk159244740"/>
      <w:r w:rsidRPr="00F77BAC">
        <w:rPr>
          <w:lang w:val="de-CH"/>
        </w:rPr>
        <w:lastRenderedPageBreak/>
        <w:t>Einleitung</w:t>
      </w:r>
    </w:p>
    <w:p w14:paraId="7D6F7302" w14:textId="2CBA8B80" w:rsidR="004F3DEB" w:rsidRPr="00F77BAC" w:rsidRDefault="004F3DEB" w:rsidP="00DA2538">
      <w:pPr>
        <w:jc w:val="both"/>
        <w:rPr>
          <w:rFonts w:cs="Arial"/>
          <w:color w:val="000000" w:themeColor="text1"/>
          <w:lang w:val="de-CH"/>
        </w:rPr>
      </w:pPr>
      <w:r w:rsidRPr="00F77BAC">
        <w:rPr>
          <w:rFonts w:cs="Arial"/>
          <w:color w:val="000000" w:themeColor="text1"/>
          <w:lang w:val="de-CH"/>
        </w:rPr>
        <w:t xml:space="preserve">Bei der Durchführung des Umsetzungsprogramms NRP 2024-2027 unterstützt der Kanton Freiburg die Entwicklung von </w:t>
      </w:r>
      <w:bookmarkStart w:id="1" w:name="_Hlk171943931"/>
      <w:r w:rsidRPr="00F77BAC">
        <w:rPr>
          <w:rFonts w:cs="Arial"/>
          <w:color w:val="000000" w:themeColor="text1"/>
          <w:lang w:val="de-CH"/>
        </w:rPr>
        <w:t>Kooperationsprojekten</w:t>
      </w:r>
      <w:bookmarkEnd w:id="1"/>
      <w:r w:rsidRPr="00F77BAC">
        <w:rPr>
          <w:rFonts w:cs="Arial"/>
          <w:color w:val="000000" w:themeColor="text1"/>
          <w:lang w:val="de-CH"/>
        </w:rPr>
        <w:t xml:space="preserve"> (PC) und von thematischen Kooperationsprojekten (PCT). </w:t>
      </w:r>
      <w:r w:rsidR="00E25B9F" w:rsidRPr="00F77BAC">
        <w:rPr>
          <w:rFonts w:cs="Arial"/>
          <w:color w:val="000000" w:themeColor="text1"/>
          <w:lang w:val="de-CH"/>
        </w:rPr>
        <w:t>Das Kooperationsprojekt mit vorwettbewerblichem Charakter soll mit Hilfe einer öffentlichen Forschungseinrichtung eine technologische und innovative Herausforderung lösen, die von mehreren Unternehmen zum Ausdruck gebracht wird, oder mit mehreren Unternehmen eine neue Wertschöpfungskette schaffen.</w:t>
      </w:r>
      <w:r w:rsidR="00FF5FD1" w:rsidRPr="00F77BAC">
        <w:rPr>
          <w:rFonts w:cs="Arial"/>
          <w:color w:val="000000" w:themeColor="text1"/>
          <w:lang w:val="de-CH"/>
        </w:rPr>
        <w:t xml:space="preserve"> </w:t>
      </w:r>
      <w:r w:rsidR="00E25B9F" w:rsidRPr="00F77BAC">
        <w:rPr>
          <w:rFonts w:cs="Arial"/>
          <w:color w:val="000000" w:themeColor="text1"/>
          <w:lang w:val="de-CH"/>
        </w:rPr>
        <w:t xml:space="preserve">Die Nutzung der Ergebnisse </w:t>
      </w:r>
      <w:r w:rsidR="000F4E2B">
        <w:rPr>
          <w:rFonts w:cs="Arial"/>
          <w:color w:val="000000" w:themeColor="text1"/>
          <w:lang w:val="de-CH"/>
        </w:rPr>
        <w:t>von</w:t>
      </w:r>
      <w:r w:rsidR="00E25B9F" w:rsidRPr="00F77BAC">
        <w:rPr>
          <w:rFonts w:cs="Arial"/>
          <w:color w:val="000000" w:themeColor="text1"/>
          <w:lang w:val="de-CH"/>
        </w:rPr>
        <w:t xml:space="preserve"> Kooperationsprojekte</w:t>
      </w:r>
      <w:r w:rsidR="000F4E2B">
        <w:rPr>
          <w:rFonts w:cs="Arial"/>
          <w:color w:val="000000" w:themeColor="text1"/>
          <w:lang w:val="de-CH"/>
        </w:rPr>
        <w:t>n</w:t>
      </w:r>
      <w:r w:rsidR="00E25B9F" w:rsidRPr="00F77BAC">
        <w:rPr>
          <w:rFonts w:cs="Arial"/>
          <w:color w:val="000000" w:themeColor="text1"/>
          <w:lang w:val="de-CH"/>
        </w:rPr>
        <w:t xml:space="preserve"> nach ihrem Abschluss liegt in der Verantwortung der Unternehmen, um den Markt zu erreichen.</w:t>
      </w:r>
    </w:p>
    <w:p w14:paraId="5BC51528" w14:textId="4D079D2F" w:rsidR="00276BF5" w:rsidRPr="00F77BAC" w:rsidRDefault="00AF58CF" w:rsidP="00DA2538">
      <w:pPr>
        <w:pStyle w:val="Titre1"/>
        <w:rPr>
          <w:lang w:val="de-CH"/>
        </w:rPr>
      </w:pPr>
      <w:r w:rsidRPr="00F77BAC">
        <w:rPr>
          <w:lang w:val="de-CH"/>
        </w:rPr>
        <w:t>Definition eines Push-Innovationschecks</w:t>
      </w:r>
      <w:r w:rsidR="000D0B7F" w:rsidRPr="00F77BAC">
        <w:rPr>
          <w:lang w:val="de-CH"/>
        </w:rPr>
        <w:t xml:space="preserve"> (CPI)</w:t>
      </w:r>
    </w:p>
    <w:p w14:paraId="653E07B3" w14:textId="15E902BC" w:rsidR="00AF58CF" w:rsidRPr="00F77BAC" w:rsidRDefault="00AF58CF" w:rsidP="00AF58CF">
      <w:pPr>
        <w:autoSpaceDE w:val="0"/>
        <w:autoSpaceDN w:val="0"/>
        <w:adjustRightInd w:val="0"/>
        <w:spacing w:before="120" w:after="120" w:line="240" w:lineRule="auto"/>
        <w:jc w:val="both"/>
        <w:rPr>
          <w:rFonts w:cs="Arial"/>
          <w:color w:val="000000" w:themeColor="text1"/>
          <w:lang w:val="de-CH"/>
        </w:rPr>
      </w:pPr>
      <w:r w:rsidRPr="00F77BAC">
        <w:rPr>
          <w:rFonts w:cs="Arial"/>
          <w:color w:val="000000" w:themeColor="text1"/>
          <w:lang w:val="de-CH"/>
        </w:rPr>
        <w:t xml:space="preserve">Der Push-Innovationscheck (CPI) ist ein Instrument zur Innovationsförderung im Rahmen des NRP-Programms 2024-2027 des Kantons Freiburg, das die Umsetzung einer Innovation beschleunigen soll, die aus einem abgeschlossenen Kooperationsprojekt (PC oder PCT) mit nachweisbaren Ergebnissen hervorgegangen ist. </w:t>
      </w:r>
    </w:p>
    <w:p w14:paraId="17BA5218" w14:textId="08E9DF31" w:rsidR="00AF58CF" w:rsidRPr="00F77BAC" w:rsidRDefault="000F4E2B" w:rsidP="00AF58CF">
      <w:pPr>
        <w:autoSpaceDE w:val="0"/>
        <w:autoSpaceDN w:val="0"/>
        <w:adjustRightInd w:val="0"/>
        <w:spacing w:before="120" w:after="120" w:line="240" w:lineRule="auto"/>
        <w:jc w:val="both"/>
        <w:rPr>
          <w:rFonts w:cs="Arial"/>
          <w:color w:val="000000" w:themeColor="text1"/>
          <w:lang w:val="de-CH"/>
        </w:rPr>
      </w:pPr>
      <w:r w:rsidRPr="000F4E2B">
        <w:rPr>
          <w:rFonts w:cs="Arial"/>
          <w:color w:val="000000" w:themeColor="text1"/>
          <w:lang w:val="de-CH"/>
        </w:rPr>
        <w:t xml:space="preserve">Der Push-Innovationscheck </w:t>
      </w:r>
      <w:r w:rsidR="00AF58CF" w:rsidRPr="00F77BAC">
        <w:rPr>
          <w:rFonts w:cs="Arial"/>
          <w:color w:val="000000" w:themeColor="text1"/>
          <w:lang w:val="de-CH"/>
        </w:rPr>
        <w:t xml:space="preserve">konzentriert sich auf die Beschaffung von </w:t>
      </w:r>
      <w:r>
        <w:rPr>
          <w:rFonts w:cs="Arial"/>
          <w:color w:val="000000" w:themeColor="text1"/>
          <w:lang w:val="de-CH"/>
        </w:rPr>
        <w:t>«P</w:t>
      </w:r>
      <w:r w:rsidR="00AF58CF" w:rsidRPr="00F77BAC">
        <w:rPr>
          <w:rFonts w:cs="Arial"/>
          <w:color w:val="000000" w:themeColor="text1"/>
          <w:lang w:val="de-CH"/>
        </w:rPr>
        <w:t>roof-</w:t>
      </w:r>
      <w:proofErr w:type="spellStart"/>
      <w:r w:rsidR="00AF58CF" w:rsidRPr="00F77BAC">
        <w:rPr>
          <w:rFonts w:cs="Arial"/>
          <w:color w:val="000000" w:themeColor="text1"/>
          <w:lang w:val="de-CH"/>
        </w:rPr>
        <w:t>of</w:t>
      </w:r>
      <w:proofErr w:type="spellEnd"/>
      <w:r w:rsidR="00AF58CF" w:rsidRPr="00F77BAC">
        <w:rPr>
          <w:rFonts w:cs="Arial"/>
          <w:color w:val="000000" w:themeColor="text1"/>
          <w:lang w:val="de-CH"/>
        </w:rPr>
        <w:t>-</w:t>
      </w:r>
      <w:proofErr w:type="spellStart"/>
      <w:r>
        <w:rPr>
          <w:rFonts w:cs="Arial"/>
          <w:color w:val="000000" w:themeColor="text1"/>
          <w:lang w:val="de-CH"/>
        </w:rPr>
        <w:t>C</w:t>
      </w:r>
      <w:r w:rsidR="00AF58CF" w:rsidRPr="00F77BAC">
        <w:rPr>
          <w:rFonts w:cs="Arial"/>
          <w:color w:val="000000" w:themeColor="text1"/>
          <w:lang w:val="de-CH"/>
        </w:rPr>
        <w:t>oncepts</w:t>
      </w:r>
      <w:proofErr w:type="spellEnd"/>
      <w:r>
        <w:rPr>
          <w:rFonts w:cs="Arial"/>
          <w:color w:val="000000" w:themeColor="text1"/>
          <w:lang w:val="de-CH"/>
        </w:rPr>
        <w:t>»</w:t>
      </w:r>
      <w:r w:rsidR="00AF58CF" w:rsidRPr="00F77BAC">
        <w:rPr>
          <w:rFonts w:cs="Arial"/>
          <w:color w:val="000000" w:themeColor="text1"/>
          <w:lang w:val="de-CH"/>
        </w:rPr>
        <w:t xml:space="preserve"> und Prototypen, indem es auf den greifbaren Ergebnissen kapitalisiert, die von früheren Kooperationsprojekten geerbt wurden.</w:t>
      </w:r>
    </w:p>
    <w:p w14:paraId="3439FB11" w14:textId="41115711" w:rsidR="00276BF5" w:rsidRPr="00F77BAC" w:rsidRDefault="00AF58CF" w:rsidP="00DA2538">
      <w:pPr>
        <w:pStyle w:val="Titre1"/>
        <w:rPr>
          <w:lang w:val="de-CH"/>
        </w:rPr>
      </w:pPr>
      <w:r w:rsidRPr="00F77BAC">
        <w:rPr>
          <w:lang w:val="de-CH"/>
        </w:rPr>
        <w:t>Ziele</w:t>
      </w:r>
    </w:p>
    <w:p w14:paraId="5B17EB2A" w14:textId="7BB1952A" w:rsidR="00DA2538" w:rsidRPr="00F77BAC" w:rsidRDefault="00FF5FD1" w:rsidP="00DA2538">
      <w:pPr>
        <w:rPr>
          <w:rStyle w:val="lev"/>
          <w:rFonts w:cs="Arial"/>
          <w:b w:val="0"/>
          <w:bCs w:val="0"/>
          <w:lang w:val="de-CH"/>
        </w:rPr>
      </w:pPr>
      <w:r w:rsidRPr="00F77BAC">
        <w:rPr>
          <w:rStyle w:val="lev"/>
          <w:rFonts w:cs="Arial"/>
          <w:b w:val="0"/>
          <w:bCs w:val="0"/>
          <w:lang w:val="de-CH"/>
        </w:rPr>
        <w:t>Die Ziele des Push-Innovationschecks</w:t>
      </w:r>
      <w:r w:rsidR="00DA2538" w:rsidRPr="00F77BAC">
        <w:rPr>
          <w:rStyle w:val="lev"/>
          <w:rFonts w:cs="Arial"/>
          <w:b w:val="0"/>
          <w:bCs w:val="0"/>
          <w:color w:val="000000" w:themeColor="text1"/>
          <w:lang w:val="de-CH"/>
        </w:rPr>
        <w:t xml:space="preserve"> </w:t>
      </w:r>
      <w:r w:rsidRPr="00F77BAC">
        <w:rPr>
          <w:rStyle w:val="lev"/>
          <w:rFonts w:cs="Arial"/>
          <w:b w:val="0"/>
          <w:bCs w:val="0"/>
          <w:color w:val="000000" w:themeColor="text1"/>
          <w:lang w:val="de-CH"/>
        </w:rPr>
        <w:t>sind die folgenden</w:t>
      </w:r>
      <w:r w:rsidR="00DA2538" w:rsidRPr="00F77BAC">
        <w:rPr>
          <w:rStyle w:val="lev"/>
          <w:rFonts w:cs="Arial"/>
          <w:b w:val="0"/>
          <w:bCs w:val="0"/>
          <w:color w:val="000000" w:themeColor="text1"/>
          <w:lang w:val="de-CH"/>
        </w:rPr>
        <w:t> :</w:t>
      </w:r>
    </w:p>
    <w:p w14:paraId="0B5C7411" w14:textId="6CBA54E8" w:rsidR="006176EC" w:rsidRPr="00F77BAC" w:rsidRDefault="00FF5FD1" w:rsidP="00DC7FF8">
      <w:pPr>
        <w:pStyle w:val="Paragraphedeliste"/>
        <w:numPr>
          <w:ilvl w:val="0"/>
          <w:numId w:val="13"/>
        </w:numPr>
        <w:ind w:left="720"/>
        <w:rPr>
          <w:rStyle w:val="lev"/>
          <w:rFonts w:cs="Arial"/>
          <w:b w:val="0"/>
          <w:bCs w:val="0"/>
          <w:color w:val="000000" w:themeColor="text1"/>
          <w:lang w:val="de-CH"/>
        </w:rPr>
      </w:pPr>
      <w:r w:rsidRPr="00F77BAC">
        <w:rPr>
          <w:rStyle w:val="lev"/>
          <w:rFonts w:cs="Arial"/>
          <w:b w:val="0"/>
          <w:bCs w:val="0"/>
          <w:color w:val="000000" w:themeColor="text1"/>
          <w:lang w:val="de-CH"/>
        </w:rPr>
        <w:t>Beschleunigung der Nutzung von Ergebnissen der durchgeführten Kooperationsprojekte</w:t>
      </w:r>
    </w:p>
    <w:p w14:paraId="2317FFCE" w14:textId="77777777" w:rsidR="00DC7FF8" w:rsidRPr="00F77BAC" w:rsidRDefault="00DC7FF8" w:rsidP="00DC7FF8">
      <w:pPr>
        <w:pStyle w:val="Paragraphedeliste"/>
        <w:ind w:left="360"/>
        <w:rPr>
          <w:rStyle w:val="lev"/>
          <w:rFonts w:cs="Arial"/>
          <w:b w:val="0"/>
          <w:bCs w:val="0"/>
          <w:lang w:val="de-CH"/>
        </w:rPr>
      </w:pPr>
    </w:p>
    <w:p w14:paraId="101C24F1" w14:textId="2CC45312" w:rsidR="00D13DA2" w:rsidRPr="00F77BAC" w:rsidRDefault="00FF5FD1" w:rsidP="005842A8">
      <w:pPr>
        <w:pStyle w:val="Paragraphedeliste"/>
        <w:numPr>
          <w:ilvl w:val="0"/>
          <w:numId w:val="13"/>
        </w:numPr>
        <w:ind w:left="720"/>
        <w:rPr>
          <w:rStyle w:val="lev"/>
          <w:rFonts w:cs="Arial"/>
          <w:b w:val="0"/>
          <w:bCs w:val="0"/>
          <w:lang w:val="de-CH"/>
        </w:rPr>
      </w:pPr>
      <w:r w:rsidRPr="00F77BAC">
        <w:rPr>
          <w:rStyle w:val="lev"/>
          <w:rFonts w:cs="Arial"/>
          <w:b w:val="0"/>
          <w:bCs w:val="0"/>
          <w:lang w:val="de-CH"/>
        </w:rPr>
        <w:t xml:space="preserve">Stärkung der Wirkung von Kooperationsprojekten (CP) und thematischen Kooperationsprojekten (TCP) durch Unterstützung der Unternehmen bei der Realisierung von </w:t>
      </w:r>
      <w:r w:rsidR="000F4E2B">
        <w:rPr>
          <w:rStyle w:val="lev"/>
          <w:rFonts w:cs="Arial"/>
          <w:b w:val="0"/>
          <w:bCs w:val="0"/>
          <w:lang w:val="de-CH"/>
        </w:rPr>
        <w:t>«</w:t>
      </w:r>
      <w:r w:rsidRPr="00F77BAC">
        <w:rPr>
          <w:rStyle w:val="lev"/>
          <w:rFonts w:cs="Arial"/>
          <w:b w:val="0"/>
          <w:bCs w:val="0"/>
          <w:lang w:val="de-CH"/>
        </w:rPr>
        <w:t>Proof-</w:t>
      </w:r>
      <w:proofErr w:type="spellStart"/>
      <w:r w:rsidRPr="00F77BAC">
        <w:rPr>
          <w:rStyle w:val="lev"/>
          <w:rFonts w:cs="Arial"/>
          <w:b w:val="0"/>
          <w:bCs w:val="0"/>
          <w:lang w:val="de-CH"/>
        </w:rPr>
        <w:t>of</w:t>
      </w:r>
      <w:proofErr w:type="spellEnd"/>
      <w:r w:rsidRPr="00F77BAC">
        <w:rPr>
          <w:rStyle w:val="lev"/>
          <w:rFonts w:cs="Arial"/>
          <w:b w:val="0"/>
          <w:bCs w:val="0"/>
          <w:lang w:val="de-CH"/>
        </w:rPr>
        <w:t>-</w:t>
      </w:r>
      <w:proofErr w:type="spellStart"/>
      <w:r w:rsidRPr="00F77BAC">
        <w:rPr>
          <w:rStyle w:val="lev"/>
          <w:rFonts w:cs="Arial"/>
          <w:b w:val="0"/>
          <w:bCs w:val="0"/>
          <w:lang w:val="de-CH"/>
        </w:rPr>
        <w:t>Concepts</w:t>
      </w:r>
      <w:proofErr w:type="spellEnd"/>
      <w:r w:rsidR="000F4E2B">
        <w:rPr>
          <w:rStyle w:val="lev"/>
          <w:rFonts w:cs="Arial"/>
          <w:b w:val="0"/>
          <w:bCs w:val="0"/>
          <w:lang w:val="de-CH"/>
        </w:rPr>
        <w:t>»</w:t>
      </w:r>
      <w:r w:rsidRPr="00F77BAC">
        <w:rPr>
          <w:rStyle w:val="lev"/>
          <w:rFonts w:cs="Arial"/>
          <w:b w:val="0"/>
          <w:bCs w:val="0"/>
          <w:lang w:val="de-CH"/>
        </w:rPr>
        <w:t xml:space="preserve"> und Prototypen.</w:t>
      </w:r>
    </w:p>
    <w:p w14:paraId="3BF4B34F" w14:textId="2639433B" w:rsidR="00276BF5" w:rsidRPr="00F77BAC" w:rsidRDefault="002535D2" w:rsidP="00DA2538">
      <w:pPr>
        <w:pStyle w:val="Titre1"/>
        <w:rPr>
          <w:lang w:val="de-CH"/>
        </w:rPr>
      </w:pPr>
      <w:r w:rsidRPr="00F77BAC">
        <w:rPr>
          <w:lang w:val="de-CH"/>
        </w:rPr>
        <w:t>Regeln für Vergabe und Verwendung eines Schecks</w:t>
      </w:r>
    </w:p>
    <w:p w14:paraId="7C13B10F" w14:textId="7305B0D4" w:rsidR="002535D2" w:rsidRPr="00F77BAC" w:rsidRDefault="002535D2" w:rsidP="00E2272D">
      <w:pPr>
        <w:autoSpaceDE w:val="0"/>
        <w:autoSpaceDN w:val="0"/>
        <w:adjustRightInd w:val="0"/>
        <w:spacing w:after="0" w:line="240" w:lineRule="auto"/>
        <w:jc w:val="both"/>
        <w:rPr>
          <w:rFonts w:cs="Arial"/>
          <w:color w:val="000000" w:themeColor="text1"/>
          <w:lang w:val="de-CH"/>
        </w:rPr>
      </w:pPr>
      <w:r w:rsidRPr="00F77BAC">
        <w:rPr>
          <w:rFonts w:cs="Arial"/>
          <w:color w:val="000000" w:themeColor="text1"/>
          <w:lang w:val="de-CH"/>
        </w:rPr>
        <w:t>Die Anträge auf den Push-Innovationsscheck werden von INNOSQUARE</w:t>
      </w:r>
      <w:r w:rsidR="000F4E2B">
        <w:rPr>
          <w:rFonts w:cs="Arial"/>
          <w:color w:val="000000" w:themeColor="text1"/>
          <w:lang w:val="de-CH"/>
        </w:rPr>
        <w:t>,</w:t>
      </w:r>
      <w:r w:rsidRPr="00F77BAC">
        <w:rPr>
          <w:rFonts w:cs="Arial"/>
          <w:color w:val="000000" w:themeColor="text1"/>
          <w:lang w:val="de-CH"/>
        </w:rPr>
        <w:t xml:space="preserve"> im Rahmen eines von der </w:t>
      </w:r>
      <w:r w:rsidR="00EB0CC8" w:rsidRPr="00F77BAC">
        <w:rPr>
          <w:rFonts w:cs="Arial"/>
          <w:color w:val="000000" w:themeColor="text1"/>
          <w:lang w:val="de-CH"/>
        </w:rPr>
        <w:t>WIF</w:t>
      </w:r>
      <w:r w:rsidRPr="00F77BAC">
        <w:rPr>
          <w:rFonts w:cs="Arial"/>
          <w:color w:val="000000" w:themeColor="text1"/>
          <w:lang w:val="de-CH"/>
        </w:rPr>
        <w:t xml:space="preserve"> erteilten Mandats</w:t>
      </w:r>
      <w:r w:rsidR="000F4E2B">
        <w:rPr>
          <w:rFonts w:cs="Arial"/>
          <w:color w:val="000000" w:themeColor="text1"/>
          <w:lang w:val="de-CH"/>
        </w:rPr>
        <w:t>,</w:t>
      </w:r>
      <w:r w:rsidRPr="00F77BAC">
        <w:rPr>
          <w:rFonts w:cs="Arial"/>
          <w:color w:val="000000" w:themeColor="text1"/>
          <w:lang w:val="de-CH"/>
        </w:rPr>
        <w:t xml:space="preserve"> mit Hilfe von externen Experten verwaltet.</w:t>
      </w:r>
    </w:p>
    <w:p w14:paraId="37A56EFC" w14:textId="02CC4CD3" w:rsidR="002535D2" w:rsidRPr="00F77BAC" w:rsidRDefault="002535D2" w:rsidP="00E2272D">
      <w:pPr>
        <w:autoSpaceDE w:val="0"/>
        <w:autoSpaceDN w:val="0"/>
        <w:adjustRightInd w:val="0"/>
        <w:spacing w:after="0" w:line="240" w:lineRule="auto"/>
        <w:jc w:val="both"/>
        <w:rPr>
          <w:rFonts w:cs="Arial"/>
          <w:color w:val="000000" w:themeColor="text1"/>
          <w:lang w:val="de-CH"/>
        </w:rPr>
      </w:pPr>
    </w:p>
    <w:p w14:paraId="72ABDF5D" w14:textId="245AB6E4" w:rsidR="002535D2" w:rsidRPr="00F77BAC" w:rsidRDefault="002535D2" w:rsidP="00E2272D">
      <w:pPr>
        <w:autoSpaceDE w:val="0"/>
        <w:autoSpaceDN w:val="0"/>
        <w:adjustRightInd w:val="0"/>
        <w:spacing w:after="0" w:line="240" w:lineRule="auto"/>
        <w:jc w:val="both"/>
        <w:rPr>
          <w:rFonts w:cs="Arial"/>
          <w:color w:val="000000" w:themeColor="text1"/>
          <w:lang w:val="de-CH"/>
        </w:rPr>
      </w:pPr>
      <w:r w:rsidRPr="00F77BAC">
        <w:rPr>
          <w:rFonts w:cs="Arial"/>
          <w:color w:val="000000" w:themeColor="text1"/>
          <w:lang w:val="de-CH"/>
        </w:rPr>
        <w:t xml:space="preserve">Die Bewertung von Scheckanträgen für die Gewährung von NRP-Fördermitteln wird dem </w:t>
      </w:r>
      <w:r w:rsidR="00EB0CC8" w:rsidRPr="00F77BAC">
        <w:rPr>
          <w:rFonts w:cs="Arial"/>
          <w:color w:val="000000" w:themeColor="text1"/>
          <w:lang w:val="de-CH"/>
        </w:rPr>
        <w:t>V</w:t>
      </w:r>
      <w:r w:rsidRPr="00F77BAC">
        <w:rPr>
          <w:rFonts w:cs="Arial"/>
          <w:color w:val="000000" w:themeColor="text1"/>
          <w:lang w:val="de-CH"/>
        </w:rPr>
        <w:t xml:space="preserve">alorisierungsanschluss </w:t>
      </w:r>
      <w:r w:rsidR="00EB0CC8" w:rsidRPr="00F77BAC">
        <w:rPr>
          <w:rFonts w:cs="Arial"/>
          <w:color w:val="000000" w:themeColor="text1"/>
          <w:lang w:val="de-CH"/>
        </w:rPr>
        <w:t xml:space="preserve">von INNOSQUARE </w:t>
      </w:r>
      <w:r w:rsidRPr="00F77BAC">
        <w:rPr>
          <w:rFonts w:cs="Arial"/>
          <w:color w:val="000000" w:themeColor="text1"/>
          <w:lang w:val="de-CH"/>
        </w:rPr>
        <w:t>(COVAL) übertragen.</w:t>
      </w:r>
    </w:p>
    <w:p w14:paraId="6077E47B" w14:textId="7285358C" w:rsidR="00E77114" w:rsidRPr="00F77BAC" w:rsidRDefault="00E77114" w:rsidP="00E2272D">
      <w:pPr>
        <w:autoSpaceDE w:val="0"/>
        <w:autoSpaceDN w:val="0"/>
        <w:adjustRightInd w:val="0"/>
        <w:spacing w:after="0" w:line="240" w:lineRule="auto"/>
        <w:jc w:val="both"/>
        <w:rPr>
          <w:rFonts w:cs="Arial"/>
          <w:color w:val="000000" w:themeColor="text1"/>
          <w:lang w:val="de-CH"/>
        </w:rPr>
      </w:pPr>
    </w:p>
    <w:p w14:paraId="1777B68C" w14:textId="066FB9CC" w:rsidR="00EB0CC8" w:rsidRPr="00F77BAC" w:rsidRDefault="00EB0CC8" w:rsidP="00DA2538">
      <w:pPr>
        <w:autoSpaceDE w:val="0"/>
        <w:autoSpaceDN w:val="0"/>
        <w:adjustRightInd w:val="0"/>
        <w:spacing w:after="0" w:line="240" w:lineRule="auto"/>
        <w:jc w:val="both"/>
        <w:rPr>
          <w:rFonts w:cs="Arial"/>
          <w:color w:val="000000" w:themeColor="text1"/>
          <w:lang w:val="de-CH"/>
        </w:rPr>
      </w:pPr>
      <w:r w:rsidRPr="00F77BAC">
        <w:rPr>
          <w:rFonts w:cs="Arial"/>
          <w:color w:val="000000" w:themeColor="text1"/>
          <w:lang w:val="de-CH"/>
        </w:rPr>
        <w:t>Die Bedingungen und Regeln für die Vergabe und Verwendung eines CPI sind wie folgt:</w:t>
      </w:r>
    </w:p>
    <w:p w14:paraId="1106D414" w14:textId="77777777" w:rsidR="00EB0CC8" w:rsidRPr="00F77BAC" w:rsidRDefault="00EB0CC8" w:rsidP="00DA2538">
      <w:pPr>
        <w:autoSpaceDE w:val="0"/>
        <w:autoSpaceDN w:val="0"/>
        <w:adjustRightInd w:val="0"/>
        <w:spacing w:after="0" w:line="240" w:lineRule="auto"/>
        <w:jc w:val="both"/>
        <w:rPr>
          <w:rFonts w:cs="Arial"/>
          <w:color w:val="000000" w:themeColor="text1"/>
          <w:lang w:val="de-CH"/>
        </w:rPr>
      </w:pPr>
    </w:p>
    <w:p w14:paraId="22096E4B" w14:textId="0153C9C2" w:rsidR="00276BF5" w:rsidRPr="00F77BAC" w:rsidRDefault="00276BF5" w:rsidP="00DA2538">
      <w:pPr>
        <w:autoSpaceDE w:val="0"/>
        <w:autoSpaceDN w:val="0"/>
        <w:adjustRightInd w:val="0"/>
        <w:spacing w:after="0" w:line="240" w:lineRule="auto"/>
        <w:jc w:val="both"/>
        <w:rPr>
          <w:rFonts w:cs="Arial"/>
          <w:color w:val="000000" w:themeColor="text1"/>
          <w:lang w:val="de-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2"/>
        <w:gridCol w:w="5948"/>
      </w:tblGrid>
      <w:tr w:rsidR="00DF71DD" w:rsidRPr="000500A9" w14:paraId="35B22FF0" w14:textId="77777777" w:rsidTr="00DC7FF8">
        <w:tc>
          <w:tcPr>
            <w:tcW w:w="562" w:type="dxa"/>
          </w:tcPr>
          <w:p w14:paraId="2E9C5883" w14:textId="434F824D" w:rsidR="00DF71DD" w:rsidRPr="00F77BAC" w:rsidRDefault="00DF71DD" w:rsidP="00DA2538">
            <w:pPr>
              <w:autoSpaceDE w:val="0"/>
              <w:autoSpaceDN w:val="0"/>
              <w:adjustRightInd w:val="0"/>
              <w:jc w:val="both"/>
              <w:rPr>
                <w:rFonts w:cs="Arial"/>
                <w:color w:val="000000" w:themeColor="text1"/>
                <w:lang w:val="de-CH"/>
              </w:rPr>
            </w:pPr>
            <w:r w:rsidRPr="00F77BAC">
              <w:rPr>
                <w:rFonts w:cs="Arial"/>
                <w:color w:val="000000" w:themeColor="text1"/>
                <w:lang w:val="de-CH"/>
              </w:rPr>
              <w:t>a)</w:t>
            </w:r>
          </w:p>
        </w:tc>
        <w:tc>
          <w:tcPr>
            <w:tcW w:w="2552" w:type="dxa"/>
          </w:tcPr>
          <w:p w14:paraId="3EFC61D2" w14:textId="700AB70C" w:rsidR="00DF71DD" w:rsidRPr="00CE35B7" w:rsidRDefault="005364F2" w:rsidP="003A3F67">
            <w:pPr>
              <w:spacing w:before="60" w:after="60"/>
              <w:rPr>
                <w:rFonts w:eastAsia="Times New Roman" w:cs="Arial"/>
                <w:lang w:val="de-CH" w:eastAsia="fr-CH"/>
              </w:rPr>
            </w:pPr>
            <w:r w:rsidRPr="00CE35B7">
              <w:rPr>
                <w:rFonts w:eastAsia="Times New Roman" w:cs="Arial"/>
                <w:lang w:val="de-CH" w:eastAsia="fr-CH"/>
              </w:rPr>
              <w:t xml:space="preserve">Einreichen eines </w:t>
            </w:r>
            <w:proofErr w:type="spellStart"/>
            <w:r w:rsidRPr="00CE35B7">
              <w:rPr>
                <w:rFonts w:eastAsia="Times New Roman" w:cs="Arial"/>
                <w:lang w:val="de-CH" w:eastAsia="fr-CH"/>
              </w:rPr>
              <w:t>Schecksantrags</w:t>
            </w:r>
            <w:proofErr w:type="spellEnd"/>
          </w:p>
        </w:tc>
        <w:tc>
          <w:tcPr>
            <w:tcW w:w="5948" w:type="dxa"/>
          </w:tcPr>
          <w:p w14:paraId="73419306" w14:textId="6C863312" w:rsidR="00E714AA" w:rsidRPr="00CE35B7" w:rsidRDefault="000500A9" w:rsidP="007004EF">
            <w:pPr>
              <w:autoSpaceDE w:val="0"/>
              <w:autoSpaceDN w:val="0"/>
              <w:adjustRightInd w:val="0"/>
              <w:spacing w:after="120"/>
              <w:jc w:val="both"/>
              <w:rPr>
                <w:rFonts w:cs="Arial"/>
                <w:color w:val="000000" w:themeColor="text1"/>
                <w:lang w:val="de-CH"/>
              </w:rPr>
            </w:pPr>
            <w:r w:rsidRPr="00CE35B7">
              <w:rPr>
                <w:rFonts w:cs="Arial"/>
                <w:color w:val="000000" w:themeColor="text1"/>
                <w:lang w:val="de-CH"/>
              </w:rPr>
              <w:t xml:space="preserve">Nach Abschluss des Projekts sind ein oder mehrere Unternehmen des Projektkonsortiums berechtigt, einen Antrag auf einen CPI zu stellen. Dieser Antrag kann gestellt werden, wenn die im Rahmen des gemeinsamen Projekts </w:t>
            </w:r>
            <w:r w:rsidRPr="00CE35B7">
              <w:rPr>
                <w:rFonts w:cs="Arial"/>
                <w:color w:val="000000" w:themeColor="text1"/>
                <w:lang w:val="de-CH"/>
              </w:rPr>
              <w:lastRenderedPageBreak/>
              <w:t>erzielten Ergebnisse dem Valorisation Committee (COVAL) präsentiert werden</w:t>
            </w:r>
            <w:r w:rsidRPr="00CE35B7">
              <w:rPr>
                <w:rFonts w:cs="Arial"/>
                <w:color w:val="000000" w:themeColor="text1"/>
                <w:lang w:val="de-CH"/>
              </w:rPr>
              <w:t>.</w:t>
            </w:r>
          </w:p>
        </w:tc>
      </w:tr>
      <w:tr w:rsidR="00E714AA" w:rsidRPr="000500A9" w14:paraId="5DB31847" w14:textId="77777777" w:rsidTr="00DC7FF8">
        <w:tc>
          <w:tcPr>
            <w:tcW w:w="562" w:type="dxa"/>
          </w:tcPr>
          <w:p w14:paraId="77CF9F2D" w14:textId="593A2443" w:rsidR="00E714AA" w:rsidRPr="00F77BAC" w:rsidRDefault="008A6CEB" w:rsidP="00E714AA">
            <w:pPr>
              <w:autoSpaceDE w:val="0"/>
              <w:autoSpaceDN w:val="0"/>
              <w:adjustRightInd w:val="0"/>
              <w:jc w:val="both"/>
              <w:rPr>
                <w:rFonts w:cs="Arial"/>
                <w:color w:val="000000" w:themeColor="text1"/>
                <w:lang w:val="de-CH"/>
              </w:rPr>
            </w:pPr>
            <w:r>
              <w:rPr>
                <w:rFonts w:cs="Arial"/>
                <w:color w:val="000000" w:themeColor="text1"/>
                <w:lang w:val="de-CH"/>
              </w:rPr>
              <w:lastRenderedPageBreak/>
              <w:t>b</w:t>
            </w:r>
            <w:r w:rsidR="00E714AA" w:rsidRPr="00F77BAC">
              <w:rPr>
                <w:rFonts w:cs="Arial"/>
                <w:color w:val="000000" w:themeColor="text1"/>
                <w:lang w:val="de-CH"/>
              </w:rPr>
              <w:t>)</w:t>
            </w:r>
          </w:p>
        </w:tc>
        <w:tc>
          <w:tcPr>
            <w:tcW w:w="2552" w:type="dxa"/>
          </w:tcPr>
          <w:p w14:paraId="37CA1D69" w14:textId="77777777" w:rsidR="00EB0CC8" w:rsidRPr="00CE35B7" w:rsidRDefault="00EB0CC8" w:rsidP="00EB0CC8">
            <w:pPr>
              <w:autoSpaceDE w:val="0"/>
              <w:autoSpaceDN w:val="0"/>
              <w:adjustRightInd w:val="0"/>
              <w:rPr>
                <w:lang w:val="de-CH"/>
              </w:rPr>
            </w:pPr>
            <w:r w:rsidRPr="00CE35B7">
              <w:rPr>
                <w:lang w:val="de-CH"/>
              </w:rPr>
              <w:t xml:space="preserve">Unterstützung bei der Erstellung </w:t>
            </w:r>
          </w:p>
          <w:p w14:paraId="731A8525" w14:textId="10449DD1" w:rsidR="00E714AA" w:rsidRPr="00CE35B7" w:rsidRDefault="00EB0CC8" w:rsidP="00EB0CC8">
            <w:pPr>
              <w:autoSpaceDE w:val="0"/>
              <w:autoSpaceDN w:val="0"/>
              <w:adjustRightInd w:val="0"/>
              <w:rPr>
                <w:lang w:val="de-CH"/>
              </w:rPr>
            </w:pPr>
            <w:r w:rsidRPr="00CE35B7">
              <w:rPr>
                <w:lang w:val="de-CH"/>
              </w:rPr>
              <w:t xml:space="preserve">des </w:t>
            </w:r>
            <w:proofErr w:type="spellStart"/>
            <w:r w:rsidR="000F4E2B" w:rsidRPr="00CE35B7">
              <w:rPr>
                <w:lang w:val="de-CH"/>
              </w:rPr>
              <w:t>Schecksa</w:t>
            </w:r>
            <w:r w:rsidRPr="00CE35B7">
              <w:rPr>
                <w:lang w:val="de-CH"/>
              </w:rPr>
              <w:t>ntrags</w:t>
            </w:r>
            <w:proofErr w:type="spellEnd"/>
            <w:r w:rsidRPr="00CE35B7">
              <w:rPr>
                <w:lang w:val="de-CH"/>
              </w:rPr>
              <w:t xml:space="preserve"> </w:t>
            </w:r>
          </w:p>
        </w:tc>
        <w:tc>
          <w:tcPr>
            <w:tcW w:w="5948" w:type="dxa"/>
          </w:tcPr>
          <w:p w14:paraId="5B72C9C3" w14:textId="3530C269" w:rsidR="00E714AA" w:rsidRPr="00CE35B7" w:rsidRDefault="007004EF" w:rsidP="00E714AA">
            <w:pPr>
              <w:autoSpaceDE w:val="0"/>
              <w:autoSpaceDN w:val="0"/>
              <w:adjustRightInd w:val="0"/>
              <w:spacing w:after="120"/>
              <w:jc w:val="both"/>
              <w:rPr>
                <w:rFonts w:cs="Arial"/>
                <w:color w:val="000000" w:themeColor="text1"/>
                <w:lang w:val="de-CH"/>
              </w:rPr>
            </w:pPr>
            <w:r w:rsidRPr="00CE35B7">
              <w:rPr>
                <w:lang w:val="de-CH"/>
              </w:rPr>
              <w:t>CPI-Antragsteller können bei der Erstellung ihres CPI-Antrags kostenlos die Unterstützung von INNOSQUARE in Anspruch nehmen.</w:t>
            </w:r>
          </w:p>
        </w:tc>
      </w:tr>
      <w:tr w:rsidR="008A6CEB" w:rsidRPr="000500A9" w14:paraId="74A62B97" w14:textId="77777777" w:rsidTr="00DC7FF8">
        <w:tc>
          <w:tcPr>
            <w:tcW w:w="562" w:type="dxa"/>
          </w:tcPr>
          <w:p w14:paraId="561CD4A3" w14:textId="72BE9AA9" w:rsidR="008A6CEB" w:rsidRDefault="008A6CEB" w:rsidP="00E714AA">
            <w:pPr>
              <w:autoSpaceDE w:val="0"/>
              <w:autoSpaceDN w:val="0"/>
              <w:adjustRightInd w:val="0"/>
              <w:jc w:val="both"/>
              <w:rPr>
                <w:rFonts w:cs="Arial"/>
                <w:color w:val="000000" w:themeColor="text1"/>
                <w:lang w:val="de-CH"/>
              </w:rPr>
            </w:pPr>
            <w:r>
              <w:rPr>
                <w:rFonts w:cs="Arial"/>
                <w:color w:val="000000" w:themeColor="text1"/>
                <w:lang w:val="de-CH"/>
              </w:rPr>
              <w:t>c)</w:t>
            </w:r>
          </w:p>
        </w:tc>
        <w:tc>
          <w:tcPr>
            <w:tcW w:w="2552" w:type="dxa"/>
          </w:tcPr>
          <w:p w14:paraId="2B1656E5" w14:textId="6C30CCDB" w:rsidR="008A6CEB" w:rsidRPr="00CE35B7" w:rsidRDefault="008A6CEB" w:rsidP="003A3F67">
            <w:pPr>
              <w:autoSpaceDE w:val="0"/>
              <w:autoSpaceDN w:val="0"/>
              <w:adjustRightInd w:val="0"/>
              <w:rPr>
                <w:rFonts w:cs="Arial"/>
                <w:color w:val="000000" w:themeColor="text1"/>
                <w:lang w:val="de-CH"/>
              </w:rPr>
            </w:pPr>
            <w:r w:rsidRPr="00CE35B7">
              <w:rPr>
                <w:rFonts w:cs="Arial"/>
                <w:color w:val="000000" w:themeColor="text1"/>
                <w:lang w:val="de-CH"/>
              </w:rPr>
              <w:t xml:space="preserve">Bewertung des </w:t>
            </w:r>
            <w:proofErr w:type="spellStart"/>
            <w:r w:rsidRPr="00CE35B7">
              <w:rPr>
                <w:rFonts w:cs="Arial"/>
                <w:color w:val="000000" w:themeColor="text1"/>
                <w:lang w:val="de-CH"/>
              </w:rPr>
              <w:t>Schecksantrags</w:t>
            </w:r>
            <w:proofErr w:type="spellEnd"/>
          </w:p>
        </w:tc>
        <w:tc>
          <w:tcPr>
            <w:tcW w:w="5948" w:type="dxa"/>
          </w:tcPr>
          <w:p w14:paraId="13105554" w14:textId="4DB3C500" w:rsidR="008A6CEB" w:rsidRPr="00CE35B7" w:rsidRDefault="00CE35B7" w:rsidP="00430D42">
            <w:pPr>
              <w:autoSpaceDE w:val="0"/>
              <w:autoSpaceDN w:val="0"/>
              <w:adjustRightInd w:val="0"/>
              <w:spacing w:after="120"/>
              <w:jc w:val="both"/>
              <w:rPr>
                <w:rFonts w:cs="Arial"/>
                <w:color w:val="000000" w:themeColor="text1"/>
                <w:lang w:val="de-CH"/>
              </w:rPr>
            </w:pPr>
            <w:r w:rsidRPr="00CE35B7">
              <w:rPr>
                <w:rFonts w:cs="Arial"/>
                <w:color w:val="000000" w:themeColor="text1"/>
                <w:lang w:val="de-CH"/>
              </w:rPr>
              <w:t>Der CPI-Antrag wird in der COVAL-Bewertungssitzung vorgestellt. Die CAPE entscheidet auf der Grundlage der Empfehlung von COVAL, ob der Scheck den Antragstellern gewährt wird oder nicht.</w:t>
            </w:r>
          </w:p>
        </w:tc>
      </w:tr>
      <w:tr w:rsidR="00D957DC" w:rsidRPr="000500A9" w14:paraId="61F19B93" w14:textId="77777777" w:rsidTr="00DC7FF8">
        <w:tc>
          <w:tcPr>
            <w:tcW w:w="562" w:type="dxa"/>
          </w:tcPr>
          <w:p w14:paraId="783743C0" w14:textId="1C117E82" w:rsidR="00D957DC" w:rsidRPr="00F77BAC" w:rsidRDefault="00B64D73" w:rsidP="00E714AA">
            <w:pPr>
              <w:autoSpaceDE w:val="0"/>
              <w:autoSpaceDN w:val="0"/>
              <w:adjustRightInd w:val="0"/>
              <w:jc w:val="both"/>
              <w:rPr>
                <w:rFonts w:cs="Arial"/>
                <w:color w:val="000000" w:themeColor="text1"/>
                <w:lang w:val="de-CH"/>
              </w:rPr>
            </w:pPr>
            <w:r>
              <w:rPr>
                <w:rFonts w:cs="Arial"/>
                <w:color w:val="000000" w:themeColor="text1"/>
                <w:lang w:val="de-CH"/>
              </w:rPr>
              <w:t>d)</w:t>
            </w:r>
          </w:p>
        </w:tc>
        <w:tc>
          <w:tcPr>
            <w:tcW w:w="2552" w:type="dxa"/>
          </w:tcPr>
          <w:p w14:paraId="7B2F0D10" w14:textId="51764064" w:rsidR="00D957DC" w:rsidRPr="00CE35B7" w:rsidRDefault="00B64D73" w:rsidP="003A3F67">
            <w:pPr>
              <w:autoSpaceDE w:val="0"/>
              <w:autoSpaceDN w:val="0"/>
              <w:adjustRightInd w:val="0"/>
              <w:rPr>
                <w:rFonts w:cs="Arial"/>
                <w:color w:val="000000" w:themeColor="text1"/>
                <w:lang w:val="de-CH"/>
              </w:rPr>
            </w:pPr>
            <w:r w:rsidRPr="00CE35B7">
              <w:rPr>
                <w:rFonts w:cs="Arial"/>
                <w:color w:val="000000" w:themeColor="text1"/>
                <w:lang w:val="de-CH"/>
              </w:rPr>
              <w:t>Verfahren</w:t>
            </w:r>
          </w:p>
        </w:tc>
        <w:tc>
          <w:tcPr>
            <w:tcW w:w="5948" w:type="dxa"/>
          </w:tcPr>
          <w:p w14:paraId="571529CE" w14:textId="73C743F0" w:rsidR="00D957DC" w:rsidRPr="00CE35B7" w:rsidRDefault="00B64D73" w:rsidP="00430D42">
            <w:pPr>
              <w:autoSpaceDE w:val="0"/>
              <w:autoSpaceDN w:val="0"/>
              <w:adjustRightInd w:val="0"/>
              <w:spacing w:after="120"/>
              <w:jc w:val="both"/>
              <w:rPr>
                <w:rFonts w:cs="Arial"/>
                <w:color w:val="000000" w:themeColor="text1"/>
                <w:lang w:val="de-CH"/>
              </w:rPr>
            </w:pPr>
            <w:r w:rsidRPr="00CE35B7">
              <w:rPr>
                <w:rFonts w:cs="Arial"/>
                <w:color w:val="000000" w:themeColor="text1"/>
                <w:lang w:val="de-CH"/>
              </w:rPr>
              <w:t>Die Beantragung eines Schecks und seine Verwendung müssen gemäss dem «Verfahren für die Beantragung, Vergabe und Verwendung eines Push-Innovationsschecks» erfolgen.</w:t>
            </w:r>
          </w:p>
        </w:tc>
      </w:tr>
      <w:tr w:rsidR="00D957DC" w:rsidRPr="000500A9" w14:paraId="3116273D" w14:textId="77777777" w:rsidTr="00DC7FF8">
        <w:tc>
          <w:tcPr>
            <w:tcW w:w="562" w:type="dxa"/>
          </w:tcPr>
          <w:p w14:paraId="79F626F7" w14:textId="77777777" w:rsidR="00D957DC" w:rsidRPr="00F77BAC" w:rsidRDefault="00D957DC" w:rsidP="00E714AA">
            <w:pPr>
              <w:autoSpaceDE w:val="0"/>
              <w:autoSpaceDN w:val="0"/>
              <w:adjustRightInd w:val="0"/>
              <w:jc w:val="both"/>
              <w:rPr>
                <w:rFonts w:cs="Arial"/>
                <w:color w:val="000000" w:themeColor="text1"/>
                <w:lang w:val="de-CH"/>
              </w:rPr>
            </w:pPr>
          </w:p>
        </w:tc>
        <w:tc>
          <w:tcPr>
            <w:tcW w:w="2552" w:type="dxa"/>
          </w:tcPr>
          <w:p w14:paraId="7341CC03" w14:textId="77777777" w:rsidR="00D957DC" w:rsidRPr="00CE35B7" w:rsidRDefault="00D957DC" w:rsidP="003A3F67">
            <w:pPr>
              <w:autoSpaceDE w:val="0"/>
              <w:autoSpaceDN w:val="0"/>
              <w:adjustRightInd w:val="0"/>
              <w:rPr>
                <w:rFonts w:cs="Arial"/>
                <w:color w:val="000000" w:themeColor="text1"/>
                <w:lang w:val="de-CH"/>
              </w:rPr>
            </w:pPr>
          </w:p>
        </w:tc>
        <w:tc>
          <w:tcPr>
            <w:tcW w:w="5948" w:type="dxa"/>
          </w:tcPr>
          <w:p w14:paraId="3E3C79B7" w14:textId="77777777" w:rsidR="00D957DC" w:rsidRPr="00CE35B7" w:rsidRDefault="00D957DC" w:rsidP="00430D42">
            <w:pPr>
              <w:autoSpaceDE w:val="0"/>
              <w:autoSpaceDN w:val="0"/>
              <w:adjustRightInd w:val="0"/>
              <w:spacing w:after="120"/>
              <w:jc w:val="both"/>
              <w:rPr>
                <w:rFonts w:cs="Arial"/>
                <w:color w:val="000000" w:themeColor="text1"/>
                <w:lang w:val="de-CH"/>
              </w:rPr>
            </w:pPr>
          </w:p>
        </w:tc>
      </w:tr>
      <w:tr w:rsidR="00D957DC" w:rsidRPr="000500A9" w14:paraId="1A7EC922" w14:textId="77777777" w:rsidTr="00DC7FF8">
        <w:tc>
          <w:tcPr>
            <w:tcW w:w="562" w:type="dxa"/>
          </w:tcPr>
          <w:p w14:paraId="175F975C" w14:textId="17DBACD7" w:rsidR="00D957DC" w:rsidRPr="00F77BAC" w:rsidRDefault="00D957DC" w:rsidP="00E714AA">
            <w:pPr>
              <w:autoSpaceDE w:val="0"/>
              <w:autoSpaceDN w:val="0"/>
              <w:adjustRightInd w:val="0"/>
              <w:jc w:val="both"/>
              <w:rPr>
                <w:rFonts w:cs="Arial"/>
                <w:color w:val="000000" w:themeColor="text1"/>
                <w:lang w:val="de-CH"/>
              </w:rPr>
            </w:pPr>
            <w:r>
              <w:rPr>
                <w:rFonts w:cs="Arial"/>
                <w:color w:val="000000" w:themeColor="text1"/>
                <w:lang w:val="de-CH"/>
              </w:rPr>
              <w:t>e)</w:t>
            </w:r>
          </w:p>
        </w:tc>
        <w:tc>
          <w:tcPr>
            <w:tcW w:w="2552" w:type="dxa"/>
          </w:tcPr>
          <w:p w14:paraId="493E5367" w14:textId="483395C0" w:rsidR="00D957DC" w:rsidRPr="00CE35B7" w:rsidRDefault="00D957DC" w:rsidP="003A3F67">
            <w:pPr>
              <w:autoSpaceDE w:val="0"/>
              <w:autoSpaceDN w:val="0"/>
              <w:adjustRightInd w:val="0"/>
              <w:rPr>
                <w:rFonts w:cs="Arial"/>
                <w:color w:val="000000" w:themeColor="text1"/>
                <w:lang w:val="de-CH"/>
              </w:rPr>
            </w:pPr>
            <w:r w:rsidRPr="00CE35B7">
              <w:rPr>
                <w:lang w:val="de-CH"/>
              </w:rPr>
              <w:t>Betrag des Schecks</w:t>
            </w:r>
          </w:p>
        </w:tc>
        <w:tc>
          <w:tcPr>
            <w:tcW w:w="5948" w:type="dxa"/>
          </w:tcPr>
          <w:p w14:paraId="7712777C" w14:textId="3852B24D" w:rsidR="00D957DC" w:rsidRPr="00CE35B7" w:rsidRDefault="00D957DC" w:rsidP="00430D42">
            <w:pPr>
              <w:autoSpaceDE w:val="0"/>
              <w:autoSpaceDN w:val="0"/>
              <w:adjustRightInd w:val="0"/>
              <w:spacing w:after="120"/>
              <w:jc w:val="both"/>
              <w:rPr>
                <w:rFonts w:cs="Arial"/>
                <w:color w:val="000000" w:themeColor="text1"/>
                <w:lang w:val="de-CH"/>
              </w:rPr>
            </w:pPr>
            <w:r w:rsidRPr="00CE35B7">
              <w:rPr>
                <w:lang w:val="de-CH"/>
              </w:rPr>
              <w:t>Der beantragte CPI ist auf maximal CHF 25'000 begrenzt und darf 50% der budgetierten Gesamtkosten für die Realisierung eines «Proof-</w:t>
            </w:r>
            <w:proofErr w:type="spellStart"/>
            <w:r w:rsidRPr="00CE35B7">
              <w:rPr>
                <w:lang w:val="de-CH"/>
              </w:rPr>
              <w:t>of</w:t>
            </w:r>
            <w:proofErr w:type="spellEnd"/>
            <w:r w:rsidRPr="00CE35B7">
              <w:rPr>
                <w:lang w:val="de-CH"/>
              </w:rPr>
              <w:t>-Concept» oder eines Prototyps nicht überschreiten.</w:t>
            </w:r>
          </w:p>
        </w:tc>
      </w:tr>
      <w:tr w:rsidR="0052486F" w:rsidRPr="000500A9" w14:paraId="66FFA433" w14:textId="77777777" w:rsidTr="00DC7FF8">
        <w:tc>
          <w:tcPr>
            <w:tcW w:w="562" w:type="dxa"/>
          </w:tcPr>
          <w:p w14:paraId="13921B55" w14:textId="6EC41C62" w:rsidR="0052486F" w:rsidRPr="00F77BAC" w:rsidRDefault="0052486F" w:rsidP="0052486F">
            <w:pPr>
              <w:autoSpaceDE w:val="0"/>
              <w:autoSpaceDN w:val="0"/>
              <w:adjustRightInd w:val="0"/>
              <w:jc w:val="both"/>
              <w:rPr>
                <w:rFonts w:cs="Arial"/>
                <w:color w:val="000000" w:themeColor="text1"/>
                <w:lang w:val="de-CH"/>
              </w:rPr>
            </w:pPr>
            <w:r>
              <w:rPr>
                <w:rFonts w:cs="Arial"/>
                <w:color w:val="000000" w:themeColor="text1"/>
                <w:lang w:val="de-CH"/>
              </w:rPr>
              <w:t>f)</w:t>
            </w:r>
          </w:p>
        </w:tc>
        <w:tc>
          <w:tcPr>
            <w:tcW w:w="2552" w:type="dxa"/>
          </w:tcPr>
          <w:p w14:paraId="672F438C" w14:textId="7F39D024" w:rsidR="0052486F" w:rsidRPr="00CE35B7" w:rsidRDefault="0052486F" w:rsidP="0052486F">
            <w:pPr>
              <w:autoSpaceDE w:val="0"/>
              <w:autoSpaceDN w:val="0"/>
              <w:adjustRightInd w:val="0"/>
              <w:rPr>
                <w:rFonts w:cs="Arial"/>
                <w:color w:val="000000" w:themeColor="text1"/>
                <w:lang w:val="de-CH"/>
              </w:rPr>
            </w:pPr>
            <w:r w:rsidRPr="00CE35B7">
              <w:rPr>
                <w:lang w:val="de-CH"/>
              </w:rPr>
              <w:t>Finanzieller Beitrag eines oder mehrerer Unternehmen</w:t>
            </w:r>
          </w:p>
        </w:tc>
        <w:tc>
          <w:tcPr>
            <w:tcW w:w="5948" w:type="dxa"/>
          </w:tcPr>
          <w:p w14:paraId="1B3F507E" w14:textId="3A4793AD" w:rsidR="0052486F" w:rsidRPr="00CE35B7" w:rsidRDefault="00D82157" w:rsidP="0052486F">
            <w:pPr>
              <w:autoSpaceDE w:val="0"/>
              <w:autoSpaceDN w:val="0"/>
              <w:adjustRightInd w:val="0"/>
              <w:spacing w:after="120"/>
              <w:jc w:val="both"/>
              <w:rPr>
                <w:rFonts w:cs="Arial"/>
                <w:color w:val="000000" w:themeColor="text1"/>
                <w:lang w:val="de-CH"/>
              </w:rPr>
            </w:pPr>
            <w:r w:rsidRPr="00CE35B7">
              <w:rPr>
                <w:lang w:val="de-CH"/>
              </w:rPr>
              <w:t xml:space="preserve">Die Partnerunternehmen müssen mindestens 50 % der gesamten geplanten Kosten des ergänzenden Projekts für die Entwicklung eines Proof </w:t>
            </w:r>
            <w:proofErr w:type="spellStart"/>
            <w:r w:rsidRPr="00CE35B7">
              <w:rPr>
                <w:lang w:val="de-CH"/>
              </w:rPr>
              <w:t>of</w:t>
            </w:r>
            <w:proofErr w:type="spellEnd"/>
            <w:r w:rsidRPr="00CE35B7">
              <w:rPr>
                <w:lang w:val="de-CH"/>
              </w:rPr>
              <w:t xml:space="preserve"> Concept oder eines Prototyps beitragen. Dieser Beitrag umfasst 5 % des Gesamtbudgets des ergänzenden Projekts, das in bar für die Dienstleistungen von INNOSQUARE zu zahlen ist.</w:t>
            </w:r>
          </w:p>
        </w:tc>
      </w:tr>
      <w:tr w:rsidR="0052486F" w:rsidRPr="000500A9" w14:paraId="62953D75" w14:textId="77777777" w:rsidTr="00DC7FF8">
        <w:tc>
          <w:tcPr>
            <w:tcW w:w="562" w:type="dxa"/>
          </w:tcPr>
          <w:p w14:paraId="0B68DC89" w14:textId="06F263D4" w:rsidR="0052486F" w:rsidRPr="00F77BAC" w:rsidRDefault="0052486F" w:rsidP="0052486F">
            <w:pPr>
              <w:autoSpaceDE w:val="0"/>
              <w:autoSpaceDN w:val="0"/>
              <w:adjustRightInd w:val="0"/>
              <w:jc w:val="both"/>
              <w:rPr>
                <w:rFonts w:cs="Arial"/>
                <w:color w:val="000000" w:themeColor="text1"/>
                <w:lang w:val="de-CH"/>
              </w:rPr>
            </w:pPr>
            <w:r w:rsidRPr="00F77BAC">
              <w:rPr>
                <w:rFonts w:cs="Arial"/>
                <w:color w:val="000000" w:themeColor="text1"/>
                <w:lang w:val="de-CH"/>
              </w:rPr>
              <w:t>g)</w:t>
            </w:r>
          </w:p>
        </w:tc>
        <w:tc>
          <w:tcPr>
            <w:tcW w:w="2552" w:type="dxa"/>
          </w:tcPr>
          <w:p w14:paraId="50E11E41" w14:textId="5ADB786C" w:rsidR="0052486F" w:rsidRPr="00CE35B7" w:rsidRDefault="0052486F" w:rsidP="0052486F">
            <w:pPr>
              <w:autoSpaceDE w:val="0"/>
              <w:autoSpaceDN w:val="0"/>
              <w:adjustRightInd w:val="0"/>
              <w:rPr>
                <w:rFonts w:cs="Arial"/>
                <w:color w:val="000000" w:themeColor="text1"/>
                <w:lang w:val="de-CH"/>
              </w:rPr>
            </w:pPr>
            <w:r w:rsidRPr="00CE35B7">
              <w:rPr>
                <w:rFonts w:cs="Arial"/>
                <w:color w:val="000000" w:themeColor="text1"/>
                <w:lang w:val="de-CH"/>
              </w:rPr>
              <w:t>Administrative Verwaltung</w:t>
            </w:r>
          </w:p>
        </w:tc>
        <w:tc>
          <w:tcPr>
            <w:tcW w:w="5948" w:type="dxa"/>
          </w:tcPr>
          <w:p w14:paraId="67527D13" w14:textId="1ADEFFEB" w:rsidR="0052486F" w:rsidRPr="00CE35B7" w:rsidRDefault="0052486F" w:rsidP="0052486F">
            <w:pPr>
              <w:autoSpaceDE w:val="0"/>
              <w:autoSpaceDN w:val="0"/>
              <w:adjustRightInd w:val="0"/>
              <w:jc w:val="both"/>
              <w:rPr>
                <w:rFonts w:cs="Arial"/>
                <w:color w:val="000000" w:themeColor="text1"/>
                <w:lang w:val="de-CH"/>
              </w:rPr>
            </w:pPr>
            <w:r w:rsidRPr="00CE35B7">
              <w:rPr>
                <w:rFonts w:cs="Arial"/>
                <w:color w:val="000000" w:themeColor="text1"/>
                <w:lang w:val="de-CH"/>
              </w:rPr>
              <w:t>Die CPI-Anträge werden administrativ von INNOSQUARE verwaltet.</w:t>
            </w:r>
          </w:p>
        </w:tc>
      </w:tr>
    </w:tbl>
    <w:p w14:paraId="7E3F1353" w14:textId="77777777" w:rsidR="003778A6" w:rsidRPr="00F77BAC" w:rsidRDefault="003778A6" w:rsidP="00DA2538">
      <w:pPr>
        <w:jc w:val="both"/>
        <w:rPr>
          <w:rFonts w:cs="Arial"/>
          <w:color w:val="000000" w:themeColor="text1"/>
          <w:lang w:val="de-CH"/>
        </w:rPr>
      </w:pPr>
    </w:p>
    <w:p w14:paraId="4DB1EB97" w14:textId="7310D08B" w:rsidR="00025F9A" w:rsidRPr="00F77BAC" w:rsidRDefault="00025F9A" w:rsidP="00DA2538">
      <w:pPr>
        <w:jc w:val="both"/>
        <w:rPr>
          <w:rFonts w:cs="Arial"/>
          <w:color w:val="000000" w:themeColor="text1"/>
          <w:lang w:val="de-CH"/>
        </w:rPr>
      </w:pPr>
      <w:r w:rsidRPr="00F77BAC">
        <w:rPr>
          <w:rFonts w:cs="Arial"/>
          <w:color w:val="000000" w:themeColor="text1"/>
          <w:lang w:val="de-CH"/>
        </w:rPr>
        <w:t xml:space="preserve">Um einen CPI zu erhalten, muss ein Antrag auf einen Scheck gemäss dem </w:t>
      </w:r>
      <w:r w:rsidRPr="00F77BAC">
        <w:rPr>
          <w:rFonts w:cs="Arial"/>
          <w:b/>
          <w:bCs/>
          <w:color w:val="000000" w:themeColor="text1"/>
          <w:lang w:val="de-CH"/>
        </w:rPr>
        <w:t>Verfahren für die Beantragung, Vergabe und Nutzung von Push- Innovationschecks</w:t>
      </w:r>
      <w:r w:rsidRPr="00F77BAC">
        <w:rPr>
          <w:rFonts w:cs="Arial"/>
          <w:color w:val="000000" w:themeColor="text1"/>
          <w:lang w:val="de-CH"/>
        </w:rPr>
        <w:t xml:space="preserve"> (CPI) eingereicht werden.</w:t>
      </w:r>
    </w:p>
    <w:bookmarkEnd w:id="0"/>
    <w:p w14:paraId="645E38CE" w14:textId="77777777" w:rsidR="00E77114" w:rsidRPr="00F77BAC" w:rsidRDefault="00E77114" w:rsidP="00E7746E">
      <w:pPr>
        <w:autoSpaceDE w:val="0"/>
        <w:autoSpaceDN w:val="0"/>
        <w:adjustRightInd w:val="0"/>
        <w:spacing w:after="120" w:line="240" w:lineRule="auto"/>
        <w:rPr>
          <w:rFonts w:cs="Arial"/>
          <w:color w:val="000000" w:themeColor="text1"/>
          <w:lang w:val="de-CH"/>
        </w:rPr>
      </w:pPr>
    </w:p>
    <w:p w14:paraId="1F007F16" w14:textId="77777777" w:rsidR="00E77114" w:rsidRPr="00F77BAC" w:rsidRDefault="00E77114" w:rsidP="00DA2538">
      <w:pPr>
        <w:autoSpaceDE w:val="0"/>
        <w:autoSpaceDN w:val="0"/>
        <w:adjustRightInd w:val="0"/>
        <w:spacing w:after="120" w:line="240" w:lineRule="auto"/>
        <w:ind w:left="2835" w:hanging="2835"/>
        <w:rPr>
          <w:rFonts w:cs="Arial"/>
          <w:color w:val="000000" w:themeColor="text1"/>
          <w:lang w:val="de-CH"/>
        </w:rPr>
      </w:pPr>
    </w:p>
    <w:p w14:paraId="038E2C17" w14:textId="2F852DB3" w:rsidR="00225AAA" w:rsidRPr="00F77BAC" w:rsidRDefault="00025F9A" w:rsidP="007004EF">
      <w:pPr>
        <w:autoSpaceDE w:val="0"/>
        <w:autoSpaceDN w:val="0"/>
        <w:adjustRightInd w:val="0"/>
        <w:spacing w:after="120" w:line="240" w:lineRule="auto"/>
        <w:ind w:left="3540" w:hanging="3540"/>
        <w:rPr>
          <w:rFonts w:cs="Arial"/>
          <w:color w:val="000000" w:themeColor="text1"/>
          <w:lang w:val="de-CH"/>
        </w:rPr>
      </w:pPr>
      <w:r w:rsidRPr="00F77BAC">
        <w:rPr>
          <w:rFonts w:cs="Arial"/>
          <w:color w:val="000000" w:themeColor="text1"/>
          <w:lang w:val="de-CH"/>
        </w:rPr>
        <w:t xml:space="preserve">Freiburg, den </w:t>
      </w:r>
      <w:r w:rsidR="006C202C" w:rsidRPr="00F77BAC">
        <w:rPr>
          <w:rFonts w:cs="Arial"/>
          <w:color w:val="000000" w:themeColor="text1"/>
          <w:lang w:val="de-CH"/>
        </w:rPr>
        <w:t>22</w:t>
      </w:r>
      <w:r w:rsidR="004D4A39" w:rsidRPr="00F77BAC">
        <w:rPr>
          <w:rFonts w:cs="Arial"/>
          <w:color w:val="000000" w:themeColor="text1"/>
          <w:lang w:val="de-CH"/>
        </w:rPr>
        <w:t xml:space="preserve"> </w:t>
      </w:r>
      <w:r w:rsidRPr="00F77BAC">
        <w:rPr>
          <w:rFonts w:cs="Arial"/>
          <w:color w:val="000000" w:themeColor="text1"/>
          <w:lang w:val="de-CH"/>
        </w:rPr>
        <w:t xml:space="preserve">Februar </w:t>
      </w:r>
      <w:r w:rsidR="004D4A39" w:rsidRPr="00F77BAC">
        <w:rPr>
          <w:rFonts w:cs="Arial"/>
          <w:color w:val="000000" w:themeColor="text1"/>
          <w:lang w:val="de-CH"/>
        </w:rPr>
        <w:t>2024</w:t>
      </w:r>
      <w:r w:rsidR="007A1BB2" w:rsidRPr="00F77BAC">
        <w:rPr>
          <w:rFonts w:cs="Arial"/>
          <w:color w:val="000000" w:themeColor="text1"/>
          <w:lang w:val="de-CH"/>
        </w:rPr>
        <w:tab/>
      </w:r>
      <w:r w:rsidR="00225AAA" w:rsidRPr="00F77BAC">
        <w:rPr>
          <w:rFonts w:cs="Arial"/>
          <w:color w:val="000000" w:themeColor="text1"/>
          <w:lang w:val="de-CH"/>
        </w:rPr>
        <w:t>Alain Lunghi</w:t>
      </w:r>
      <w:r w:rsidR="00225AAA" w:rsidRPr="00F77BAC">
        <w:rPr>
          <w:rFonts w:cs="Arial"/>
          <w:color w:val="000000" w:themeColor="text1"/>
          <w:lang w:val="de-CH"/>
        </w:rPr>
        <w:br/>
      </w:r>
      <w:r w:rsidR="007004EF" w:rsidRPr="00F77BAC">
        <w:rPr>
          <w:rFonts w:cs="Arial"/>
          <w:color w:val="000000" w:themeColor="text1"/>
          <w:sz w:val="18"/>
          <w:szCs w:val="18"/>
          <w:lang w:val="de-CH"/>
        </w:rPr>
        <w:t>Wirtschaftsförderung des Kantons Freiburg</w:t>
      </w:r>
      <w:r w:rsidR="007004EF" w:rsidRPr="00F77BAC">
        <w:rPr>
          <w:rFonts w:cs="Arial"/>
          <w:color w:val="000000" w:themeColor="text1"/>
          <w:sz w:val="18"/>
          <w:szCs w:val="18"/>
          <w:lang w:val="de-CH"/>
        </w:rPr>
        <w:br/>
        <w:t>stellvertretender Direktor, Verantwortlicher Regionalpolitik</w:t>
      </w:r>
      <w:r w:rsidR="00225AAA" w:rsidRPr="00F77BAC">
        <w:rPr>
          <w:rFonts w:cs="Arial"/>
          <w:color w:val="000000" w:themeColor="text1"/>
          <w:lang w:val="de-CH"/>
        </w:rPr>
        <w:br/>
      </w:r>
    </w:p>
    <w:p w14:paraId="7FE660BA" w14:textId="2EB215C1" w:rsidR="00225AAA" w:rsidRPr="00F77BAC" w:rsidRDefault="00225AAA" w:rsidP="00DA2538">
      <w:pPr>
        <w:autoSpaceDE w:val="0"/>
        <w:autoSpaceDN w:val="0"/>
        <w:adjustRightInd w:val="0"/>
        <w:spacing w:after="120" w:line="240" w:lineRule="auto"/>
        <w:ind w:right="-426"/>
        <w:rPr>
          <w:rFonts w:cs="Arial"/>
          <w:color w:val="000000" w:themeColor="text1"/>
          <w:sz w:val="18"/>
          <w:szCs w:val="18"/>
          <w:lang w:val="de-CH"/>
        </w:rPr>
      </w:pP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007004EF" w:rsidRPr="00F77BAC">
        <w:rPr>
          <w:rFonts w:cs="Arial"/>
          <w:color w:val="000000" w:themeColor="text1"/>
          <w:lang w:val="de-CH"/>
        </w:rPr>
        <w:tab/>
      </w:r>
      <w:r w:rsidR="004D4A39" w:rsidRPr="00F77BAC">
        <w:rPr>
          <w:rFonts w:cs="Arial"/>
          <w:color w:val="000000" w:themeColor="text1"/>
          <w:lang w:val="de-CH"/>
        </w:rPr>
        <w:t>Nicolas Huet</w:t>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Pr="00F77BAC">
        <w:rPr>
          <w:rFonts w:cs="Arial"/>
          <w:color w:val="000000" w:themeColor="text1"/>
          <w:lang w:val="de-CH"/>
        </w:rPr>
        <w:tab/>
      </w:r>
      <w:r w:rsidR="007A1BB2" w:rsidRPr="00F77BAC">
        <w:rPr>
          <w:rFonts w:cs="Arial"/>
          <w:color w:val="000000" w:themeColor="text1"/>
          <w:lang w:val="de-CH"/>
        </w:rPr>
        <w:tab/>
      </w:r>
      <w:r w:rsidR="00145529" w:rsidRPr="00F77BAC">
        <w:rPr>
          <w:rFonts w:cs="Arial"/>
          <w:color w:val="000000" w:themeColor="text1"/>
          <w:lang w:val="de-CH"/>
        </w:rPr>
        <w:tab/>
      </w:r>
      <w:r w:rsidR="007004EF" w:rsidRPr="00F77BAC">
        <w:rPr>
          <w:rFonts w:cs="Arial"/>
          <w:color w:val="000000" w:themeColor="text1"/>
          <w:sz w:val="18"/>
          <w:szCs w:val="18"/>
          <w:lang w:val="de-CH"/>
        </w:rPr>
        <w:t>Hochschule für Technik und Architektur Freiburg</w:t>
      </w:r>
      <w:r w:rsidR="007A1BB2" w:rsidRPr="00F77BAC">
        <w:rPr>
          <w:rFonts w:cs="Arial"/>
          <w:color w:val="000000" w:themeColor="text1"/>
          <w:sz w:val="18"/>
          <w:szCs w:val="18"/>
          <w:lang w:val="de-CH"/>
        </w:rPr>
        <w:br/>
      </w:r>
      <w:r w:rsidR="007A1BB2" w:rsidRPr="00F77BAC">
        <w:rPr>
          <w:rFonts w:cs="Arial"/>
          <w:color w:val="000000" w:themeColor="text1"/>
          <w:sz w:val="18"/>
          <w:szCs w:val="18"/>
          <w:lang w:val="de-CH"/>
        </w:rPr>
        <w:tab/>
      </w:r>
      <w:r w:rsidR="007A1BB2" w:rsidRPr="00F77BAC">
        <w:rPr>
          <w:rFonts w:cs="Arial"/>
          <w:color w:val="000000" w:themeColor="text1"/>
          <w:sz w:val="18"/>
          <w:szCs w:val="18"/>
          <w:lang w:val="de-CH"/>
        </w:rPr>
        <w:tab/>
      </w:r>
      <w:r w:rsidR="007A1BB2" w:rsidRPr="00F77BAC">
        <w:rPr>
          <w:rFonts w:cs="Arial"/>
          <w:color w:val="000000" w:themeColor="text1"/>
          <w:sz w:val="18"/>
          <w:szCs w:val="18"/>
          <w:lang w:val="de-CH"/>
        </w:rPr>
        <w:tab/>
      </w:r>
      <w:r w:rsidR="007A1BB2" w:rsidRPr="00F77BAC">
        <w:rPr>
          <w:rFonts w:cs="Arial"/>
          <w:color w:val="000000" w:themeColor="text1"/>
          <w:sz w:val="18"/>
          <w:szCs w:val="18"/>
          <w:lang w:val="de-CH"/>
        </w:rPr>
        <w:tab/>
      </w:r>
      <w:r w:rsidR="007004EF" w:rsidRPr="00F77BAC">
        <w:rPr>
          <w:rFonts w:cs="Arial"/>
          <w:color w:val="000000" w:themeColor="text1"/>
          <w:sz w:val="18"/>
          <w:szCs w:val="18"/>
          <w:lang w:val="de-CH"/>
        </w:rPr>
        <w:tab/>
      </w:r>
      <w:r w:rsidR="002974E1">
        <w:rPr>
          <w:rFonts w:cs="Arial"/>
          <w:color w:val="000000" w:themeColor="text1"/>
          <w:sz w:val="18"/>
          <w:szCs w:val="18"/>
          <w:lang w:val="de-CH"/>
        </w:rPr>
        <w:t xml:space="preserve">INNOSQUARE </w:t>
      </w:r>
      <w:r w:rsidR="007004EF" w:rsidRPr="00F77BAC">
        <w:rPr>
          <w:rFonts w:cs="Arial"/>
          <w:color w:val="000000" w:themeColor="text1"/>
          <w:sz w:val="18"/>
          <w:szCs w:val="18"/>
          <w:lang w:val="de-CH"/>
        </w:rPr>
        <w:t>Verantwortliche</w:t>
      </w:r>
      <w:r w:rsidR="002974E1">
        <w:rPr>
          <w:rFonts w:cs="Arial"/>
          <w:color w:val="000000" w:themeColor="text1"/>
          <w:sz w:val="18"/>
          <w:szCs w:val="18"/>
          <w:lang w:val="de-CH"/>
        </w:rPr>
        <w:t>r</w:t>
      </w:r>
      <w:r w:rsidR="007004EF" w:rsidRPr="00F77BAC">
        <w:rPr>
          <w:rFonts w:cs="Arial"/>
          <w:color w:val="000000" w:themeColor="text1"/>
          <w:sz w:val="18"/>
          <w:szCs w:val="18"/>
          <w:lang w:val="de-CH"/>
        </w:rPr>
        <w:t>, Manager NRP-Kooperationspro</w:t>
      </w:r>
      <w:r w:rsidR="002974E1">
        <w:rPr>
          <w:rFonts w:cs="Arial"/>
          <w:color w:val="000000" w:themeColor="text1"/>
          <w:sz w:val="18"/>
          <w:szCs w:val="18"/>
          <w:lang w:val="de-CH"/>
        </w:rPr>
        <w:t>jekten</w:t>
      </w:r>
    </w:p>
    <w:p w14:paraId="5A8EC950" w14:textId="32CDECB0" w:rsidR="00591898" w:rsidRPr="00F77BAC" w:rsidRDefault="00591898" w:rsidP="00DA2538">
      <w:pPr>
        <w:autoSpaceDE w:val="0"/>
        <w:autoSpaceDN w:val="0"/>
        <w:adjustRightInd w:val="0"/>
        <w:spacing w:after="120" w:line="240" w:lineRule="auto"/>
        <w:ind w:right="-426"/>
        <w:rPr>
          <w:rFonts w:cs="Arial"/>
          <w:color w:val="000000" w:themeColor="text1"/>
          <w:sz w:val="18"/>
          <w:szCs w:val="18"/>
          <w:lang w:val="de-CH"/>
        </w:rPr>
      </w:pPr>
    </w:p>
    <w:p w14:paraId="1E2A2C89" w14:textId="5B8E0C6E" w:rsidR="00591898" w:rsidRPr="00F77BAC" w:rsidRDefault="007004EF" w:rsidP="00DA2538">
      <w:pPr>
        <w:autoSpaceDE w:val="0"/>
        <w:autoSpaceDN w:val="0"/>
        <w:adjustRightInd w:val="0"/>
        <w:spacing w:after="120" w:line="240" w:lineRule="auto"/>
        <w:ind w:right="-426"/>
        <w:jc w:val="both"/>
        <w:rPr>
          <w:rFonts w:cs="Arial"/>
          <w:color w:val="000000" w:themeColor="text1"/>
          <w:u w:val="single"/>
          <w:lang w:val="de-CH"/>
        </w:rPr>
      </w:pPr>
      <w:r w:rsidRPr="00F77BAC">
        <w:rPr>
          <w:rFonts w:cs="Arial"/>
          <w:color w:val="000000" w:themeColor="text1"/>
          <w:u w:val="single"/>
          <w:lang w:val="de-CH"/>
        </w:rPr>
        <w:t>Anh</w:t>
      </w:r>
      <w:r w:rsidR="002974E1">
        <w:rPr>
          <w:rFonts w:cs="Arial"/>
          <w:color w:val="000000" w:themeColor="text1"/>
          <w:u w:val="single"/>
          <w:lang w:val="de-CH"/>
        </w:rPr>
        <w:t>ang</w:t>
      </w:r>
      <w:r w:rsidR="00591898" w:rsidRPr="00F77BAC">
        <w:rPr>
          <w:rFonts w:cs="Arial"/>
          <w:color w:val="000000" w:themeColor="text1"/>
          <w:u w:val="single"/>
          <w:lang w:val="de-CH"/>
        </w:rPr>
        <w:t> :</w:t>
      </w:r>
    </w:p>
    <w:p w14:paraId="199490CA" w14:textId="62CF635C" w:rsidR="004A407E" w:rsidRPr="00F77BAC" w:rsidRDefault="00F77BAC" w:rsidP="00DA2538">
      <w:pPr>
        <w:pStyle w:val="Paragraphedeliste"/>
        <w:numPr>
          <w:ilvl w:val="0"/>
          <w:numId w:val="6"/>
        </w:numPr>
        <w:autoSpaceDE w:val="0"/>
        <w:autoSpaceDN w:val="0"/>
        <w:adjustRightInd w:val="0"/>
        <w:spacing w:after="120" w:line="240" w:lineRule="auto"/>
        <w:ind w:right="-426"/>
        <w:rPr>
          <w:rFonts w:cs="Arial"/>
          <w:color w:val="000000" w:themeColor="text1"/>
          <w:lang w:val="de-CH"/>
        </w:rPr>
      </w:pPr>
      <w:r w:rsidRPr="00F77BAC">
        <w:rPr>
          <w:rFonts w:cs="Arial"/>
          <w:b/>
          <w:color w:val="000000" w:themeColor="text1"/>
          <w:lang w:val="de-CH"/>
        </w:rPr>
        <w:t>Verfahren für die Beantragung, Vergabe und Verwendung eines Push-</w:t>
      </w:r>
      <w:proofErr w:type="spellStart"/>
      <w:r w:rsidRPr="00F77BAC">
        <w:rPr>
          <w:rFonts w:cs="Arial"/>
          <w:b/>
          <w:color w:val="000000" w:themeColor="text1"/>
          <w:lang w:val="de-CH"/>
        </w:rPr>
        <w:t>Innovationsscheks</w:t>
      </w:r>
      <w:proofErr w:type="spellEnd"/>
      <w:r w:rsidR="002E5966" w:rsidRPr="00F77BAC">
        <w:rPr>
          <w:rFonts w:cs="Arial"/>
          <w:b/>
          <w:color w:val="000000" w:themeColor="text1"/>
          <w:lang w:val="de-CH"/>
        </w:rPr>
        <w:t xml:space="preserve"> </w:t>
      </w:r>
      <w:r w:rsidR="001466E7" w:rsidRPr="00F77BAC">
        <w:rPr>
          <w:rFonts w:cs="Arial"/>
          <w:b/>
          <w:color w:val="000000" w:themeColor="text1"/>
          <w:lang w:val="de-CH"/>
        </w:rPr>
        <w:t>(CPI)</w:t>
      </w:r>
    </w:p>
    <w:p w14:paraId="1EB6314B" w14:textId="2A1A3ADC" w:rsidR="00591898" w:rsidRPr="002974E1" w:rsidRDefault="001466E7" w:rsidP="00DA2538">
      <w:pPr>
        <w:pStyle w:val="Paragraphedeliste"/>
        <w:autoSpaceDE w:val="0"/>
        <w:autoSpaceDN w:val="0"/>
        <w:adjustRightInd w:val="0"/>
        <w:spacing w:after="120" w:line="240" w:lineRule="auto"/>
        <w:ind w:right="-426"/>
        <w:rPr>
          <w:rFonts w:cs="Arial"/>
          <w:color w:val="000000" w:themeColor="text1"/>
          <w:lang w:val="de-CH"/>
        </w:rPr>
      </w:pPr>
      <w:r w:rsidRPr="002974E1">
        <w:rPr>
          <w:rFonts w:cs="Arial"/>
          <w:lang w:val="de-CH"/>
        </w:rPr>
        <w:t>CPI</w:t>
      </w:r>
      <w:r w:rsidR="00591898" w:rsidRPr="002974E1">
        <w:rPr>
          <w:rFonts w:cs="Arial"/>
          <w:lang w:val="de-CH"/>
        </w:rPr>
        <w:t xml:space="preserve"> </w:t>
      </w:r>
      <w:r w:rsidR="002974E1" w:rsidRPr="002974E1">
        <w:rPr>
          <w:rFonts w:cs="Arial"/>
          <w:lang w:val="de-CH"/>
        </w:rPr>
        <w:t xml:space="preserve">Beantragung-Vergabe-Verwendungsverfahren </w:t>
      </w:r>
      <w:r w:rsidR="00591898" w:rsidRPr="002974E1">
        <w:rPr>
          <w:rFonts w:cs="Arial"/>
          <w:lang w:val="de-CH"/>
        </w:rPr>
        <w:t>.</w:t>
      </w:r>
      <w:proofErr w:type="spellStart"/>
      <w:r w:rsidR="00591898" w:rsidRPr="002974E1">
        <w:rPr>
          <w:rFonts w:cs="Arial"/>
          <w:lang w:val="de-CH"/>
        </w:rPr>
        <w:t>pdf</w:t>
      </w:r>
      <w:proofErr w:type="spellEnd"/>
      <w:r w:rsidR="00591898" w:rsidRPr="002974E1">
        <w:rPr>
          <w:rFonts w:cs="Arial"/>
          <w:color w:val="000000" w:themeColor="text1"/>
          <w:lang w:val="de-CH"/>
        </w:rPr>
        <w:br/>
      </w:r>
    </w:p>
    <w:sectPr w:rsidR="00591898" w:rsidRPr="002974E1" w:rsidSect="00150491">
      <w:headerReference w:type="default" r:id="rId11"/>
      <w:footerReference w:type="default" r:id="rId12"/>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EE90" w14:textId="77777777" w:rsidR="009C7461" w:rsidRDefault="009C7461" w:rsidP="00276BF5">
      <w:pPr>
        <w:spacing w:after="0" w:line="240" w:lineRule="auto"/>
      </w:pPr>
      <w:r>
        <w:separator/>
      </w:r>
    </w:p>
  </w:endnote>
  <w:endnote w:type="continuationSeparator" w:id="0">
    <w:p w14:paraId="693CDD31" w14:textId="77777777" w:rsidR="009C7461" w:rsidRDefault="009C7461" w:rsidP="00276BF5">
      <w:pPr>
        <w:spacing w:after="0" w:line="240" w:lineRule="auto"/>
      </w:pPr>
      <w:r>
        <w:continuationSeparator/>
      </w:r>
    </w:p>
  </w:endnote>
  <w:endnote w:type="continuationNotice" w:id="1">
    <w:p w14:paraId="664BB960" w14:textId="77777777" w:rsidR="009C7461" w:rsidRDefault="009C7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07"/>
      <w:gridCol w:w="1840"/>
      <w:gridCol w:w="1415"/>
    </w:tblGrid>
    <w:tr w:rsidR="00573623" w14:paraId="56583CE4" w14:textId="77777777" w:rsidTr="00573623">
      <w:tc>
        <w:tcPr>
          <w:tcW w:w="5807" w:type="dxa"/>
        </w:tcPr>
        <w:p w14:paraId="6841CF0C" w14:textId="7A86417B" w:rsidR="00573623" w:rsidRPr="004F3DEB" w:rsidRDefault="004F3DEB" w:rsidP="00B8167F">
          <w:pPr>
            <w:rPr>
              <w:sz w:val="18"/>
              <w:szCs w:val="18"/>
              <w:lang w:val="de-CH"/>
            </w:rPr>
          </w:pPr>
          <w:r w:rsidRPr="004F3DEB">
            <w:rPr>
              <w:sz w:val="18"/>
              <w:szCs w:val="18"/>
              <w:lang w:val="de-CH"/>
            </w:rPr>
            <w:t>Anwend</w:t>
          </w:r>
          <w:r>
            <w:rPr>
              <w:sz w:val="18"/>
              <w:szCs w:val="18"/>
              <w:lang w:val="de-CH"/>
            </w:rPr>
            <w:t>u</w:t>
          </w:r>
          <w:r w:rsidRPr="004F3DEB">
            <w:rPr>
              <w:sz w:val="18"/>
              <w:szCs w:val="18"/>
              <w:lang w:val="de-CH"/>
            </w:rPr>
            <w:t>ngsreglement eines Push-Innovationsschecks</w:t>
          </w:r>
        </w:p>
      </w:tc>
      <w:tc>
        <w:tcPr>
          <w:tcW w:w="1840" w:type="dxa"/>
        </w:tcPr>
        <w:p w14:paraId="50A6B848" w14:textId="61DD92B5" w:rsidR="00573623" w:rsidRPr="004F3DEB" w:rsidRDefault="000D0B7F" w:rsidP="00F80BD8">
          <w:pPr>
            <w:pStyle w:val="Pieddepage"/>
            <w:spacing w:before="60" w:after="60"/>
            <w:jc w:val="right"/>
            <w:rPr>
              <w:sz w:val="18"/>
              <w:szCs w:val="18"/>
              <w:lang w:val="de-CH"/>
            </w:rPr>
          </w:pPr>
          <w:r w:rsidRPr="004F3DEB">
            <w:rPr>
              <w:sz w:val="18"/>
              <w:szCs w:val="18"/>
              <w:lang w:val="de-CH"/>
            </w:rPr>
            <w:t>CPI</w:t>
          </w:r>
          <w:r w:rsidR="00573623" w:rsidRPr="004F3DEB">
            <w:rPr>
              <w:sz w:val="18"/>
              <w:szCs w:val="18"/>
              <w:lang w:val="de-CH"/>
            </w:rPr>
            <w:t>-R-F-001.0</w:t>
          </w:r>
          <w:r w:rsidR="00F703A2" w:rsidRPr="004F3DEB">
            <w:rPr>
              <w:sz w:val="18"/>
              <w:szCs w:val="18"/>
              <w:lang w:val="de-CH"/>
            </w:rPr>
            <w:t>1</w:t>
          </w:r>
        </w:p>
      </w:tc>
      <w:tc>
        <w:tcPr>
          <w:tcW w:w="1415" w:type="dxa"/>
        </w:tcPr>
        <w:p w14:paraId="7FC57CF8" w14:textId="7B092FC4" w:rsidR="00573623" w:rsidRPr="004F3DEB" w:rsidRDefault="00A4193A" w:rsidP="00F80BD8">
          <w:pPr>
            <w:pStyle w:val="Pieddepage"/>
            <w:spacing w:before="60" w:after="60"/>
            <w:jc w:val="right"/>
            <w:rPr>
              <w:sz w:val="18"/>
              <w:szCs w:val="18"/>
              <w:lang w:val="de-CH"/>
            </w:rPr>
          </w:pPr>
          <w:proofErr w:type="spellStart"/>
          <w:r w:rsidRPr="00A4193A">
            <w:rPr>
              <w:sz w:val="18"/>
              <w:szCs w:val="18"/>
              <w:lang w:val="de-CH"/>
            </w:rPr>
            <w:t>genehming</w:t>
          </w:r>
          <w:proofErr w:type="spellEnd"/>
        </w:p>
      </w:tc>
    </w:tr>
    <w:tr w:rsidR="00BA375A" w14:paraId="76478F6B" w14:textId="77777777" w:rsidTr="00573623">
      <w:tc>
        <w:tcPr>
          <w:tcW w:w="5807" w:type="dxa"/>
        </w:tcPr>
        <w:p w14:paraId="1224C7FB" w14:textId="2627676B" w:rsidR="00BA375A" w:rsidRPr="004F3DEB" w:rsidRDefault="00BA375A" w:rsidP="00BA375A">
          <w:pPr>
            <w:pStyle w:val="Pieddepage"/>
            <w:spacing w:before="60" w:after="60"/>
            <w:rPr>
              <w:sz w:val="18"/>
              <w:szCs w:val="18"/>
              <w:lang w:val="de-CH"/>
            </w:rPr>
          </w:pPr>
          <w:r w:rsidRPr="004F3DEB">
            <w:rPr>
              <w:sz w:val="18"/>
              <w:szCs w:val="18"/>
              <w:lang w:val="de-CH"/>
            </w:rPr>
            <w:fldChar w:fldCharType="begin"/>
          </w:r>
          <w:r w:rsidRPr="004F3DEB">
            <w:rPr>
              <w:sz w:val="18"/>
              <w:szCs w:val="18"/>
              <w:lang w:val="de-CH"/>
            </w:rPr>
            <w:instrText xml:space="preserve"> FILENAME </w:instrText>
          </w:r>
          <w:r w:rsidRPr="004F3DEB">
            <w:rPr>
              <w:sz w:val="18"/>
              <w:szCs w:val="18"/>
              <w:lang w:val="de-CH"/>
            </w:rPr>
            <w:fldChar w:fldCharType="separate"/>
          </w:r>
          <w:r w:rsidR="004F3DEB" w:rsidRPr="004F3DEB">
            <w:rPr>
              <w:noProof/>
              <w:sz w:val="18"/>
              <w:szCs w:val="18"/>
              <w:lang w:val="de-CH"/>
            </w:rPr>
            <w:t>CPI - Anwendungsreglement 2024-2027.docx</w:t>
          </w:r>
          <w:r w:rsidRPr="004F3DEB">
            <w:rPr>
              <w:sz w:val="18"/>
              <w:szCs w:val="18"/>
              <w:lang w:val="de-CH"/>
            </w:rPr>
            <w:fldChar w:fldCharType="end"/>
          </w:r>
        </w:p>
      </w:tc>
      <w:tc>
        <w:tcPr>
          <w:tcW w:w="1840" w:type="dxa"/>
        </w:tcPr>
        <w:p w14:paraId="281890CC" w14:textId="192904C5" w:rsidR="00BA375A" w:rsidRPr="004F3DEB" w:rsidRDefault="00BF3FA1" w:rsidP="00F80BD8">
          <w:pPr>
            <w:pStyle w:val="Pieddepage"/>
            <w:spacing w:before="60" w:after="60"/>
            <w:jc w:val="right"/>
            <w:rPr>
              <w:sz w:val="18"/>
              <w:szCs w:val="18"/>
              <w:lang w:val="de-CH"/>
            </w:rPr>
          </w:pPr>
          <w:r w:rsidRPr="004F3DEB">
            <w:rPr>
              <w:sz w:val="18"/>
              <w:szCs w:val="18"/>
              <w:lang w:val="de-CH"/>
            </w:rPr>
            <w:t>26</w:t>
          </w:r>
          <w:r w:rsidR="00B6761F" w:rsidRPr="004F3DEB">
            <w:rPr>
              <w:sz w:val="18"/>
              <w:szCs w:val="18"/>
              <w:lang w:val="de-CH"/>
            </w:rPr>
            <w:t>.02.2024</w:t>
          </w:r>
        </w:p>
      </w:tc>
      <w:tc>
        <w:tcPr>
          <w:tcW w:w="1415" w:type="dxa"/>
        </w:tcPr>
        <w:p w14:paraId="5177A6D1" w14:textId="65F9AD8E" w:rsidR="00BA375A" w:rsidRPr="004F3DEB" w:rsidRDefault="00A4193A" w:rsidP="00F80BD8">
          <w:pPr>
            <w:pStyle w:val="Pieddepage"/>
            <w:spacing w:before="60" w:after="60"/>
            <w:jc w:val="right"/>
            <w:rPr>
              <w:sz w:val="18"/>
              <w:szCs w:val="18"/>
              <w:lang w:val="de-CH"/>
            </w:rPr>
          </w:pPr>
          <w:r>
            <w:rPr>
              <w:sz w:val="18"/>
              <w:szCs w:val="18"/>
              <w:lang w:val="de-CH"/>
            </w:rPr>
            <w:t>Seite</w:t>
          </w:r>
          <w:r w:rsidR="00F80BD8" w:rsidRPr="004F3DEB">
            <w:rPr>
              <w:sz w:val="18"/>
              <w:szCs w:val="18"/>
              <w:lang w:val="de-CH"/>
            </w:rPr>
            <w:t xml:space="preserve"> </w:t>
          </w:r>
          <w:r w:rsidR="00F80BD8" w:rsidRPr="004F3DEB">
            <w:rPr>
              <w:rStyle w:val="Numrodepage"/>
              <w:rFonts w:cs="Arial"/>
              <w:sz w:val="20"/>
              <w:lang w:val="de-CH"/>
            </w:rPr>
            <w:fldChar w:fldCharType="begin"/>
          </w:r>
          <w:r w:rsidR="00F80BD8" w:rsidRPr="004F3DEB">
            <w:rPr>
              <w:rStyle w:val="Numrodepage"/>
              <w:rFonts w:cs="Arial"/>
              <w:sz w:val="20"/>
              <w:lang w:val="de-CH"/>
            </w:rPr>
            <w:instrText xml:space="preserve"> PAGE </w:instrText>
          </w:r>
          <w:r w:rsidR="00F80BD8" w:rsidRPr="004F3DEB">
            <w:rPr>
              <w:rStyle w:val="Numrodepage"/>
              <w:rFonts w:cs="Arial"/>
              <w:sz w:val="20"/>
              <w:lang w:val="de-CH"/>
            </w:rPr>
            <w:fldChar w:fldCharType="separate"/>
          </w:r>
          <w:r w:rsidR="00F80BD8" w:rsidRPr="004F3DEB">
            <w:rPr>
              <w:rStyle w:val="Numrodepage"/>
              <w:rFonts w:cs="Arial"/>
              <w:sz w:val="20"/>
              <w:lang w:val="de-CH"/>
            </w:rPr>
            <w:t>2</w:t>
          </w:r>
          <w:r w:rsidR="00F80BD8" w:rsidRPr="004F3DEB">
            <w:rPr>
              <w:rStyle w:val="Numrodepage"/>
              <w:rFonts w:cs="Arial"/>
              <w:sz w:val="20"/>
              <w:lang w:val="de-CH"/>
            </w:rPr>
            <w:fldChar w:fldCharType="end"/>
          </w:r>
          <w:r w:rsidR="00F80BD8" w:rsidRPr="004F3DEB">
            <w:rPr>
              <w:rStyle w:val="Numrodepage"/>
              <w:rFonts w:cs="Arial"/>
              <w:sz w:val="20"/>
              <w:lang w:val="de-CH"/>
            </w:rPr>
            <w:t>/</w:t>
          </w:r>
          <w:r w:rsidR="00F80BD8" w:rsidRPr="004F3DEB">
            <w:rPr>
              <w:rStyle w:val="Numrodepage"/>
              <w:rFonts w:cs="Arial"/>
              <w:sz w:val="20"/>
              <w:lang w:val="de-CH"/>
            </w:rPr>
            <w:fldChar w:fldCharType="begin"/>
          </w:r>
          <w:r w:rsidR="00F80BD8" w:rsidRPr="004F3DEB">
            <w:rPr>
              <w:rStyle w:val="Numrodepage"/>
              <w:rFonts w:cs="Arial"/>
              <w:sz w:val="20"/>
              <w:lang w:val="de-CH"/>
            </w:rPr>
            <w:instrText xml:space="preserve"> NUMPAGES </w:instrText>
          </w:r>
          <w:r w:rsidR="00F80BD8" w:rsidRPr="004F3DEB">
            <w:rPr>
              <w:rStyle w:val="Numrodepage"/>
              <w:rFonts w:cs="Arial"/>
              <w:sz w:val="20"/>
              <w:lang w:val="de-CH"/>
            </w:rPr>
            <w:fldChar w:fldCharType="separate"/>
          </w:r>
          <w:r w:rsidR="00F80BD8" w:rsidRPr="004F3DEB">
            <w:rPr>
              <w:rStyle w:val="Numrodepage"/>
              <w:rFonts w:cs="Arial"/>
              <w:sz w:val="20"/>
              <w:lang w:val="de-CH"/>
            </w:rPr>
            <w:t>15</w:t>
          </w:r>
          <w:r w:rsidR="00F80BD8" w:rsidRPr="004F3DEB">
            <w:rPr>
              <w:rStyle w:val="Numrodepage"/>
              <w:rFonts w:cs="Arial"/>
              <w:sz w:val="20"/>
              <w:lang w:val="de-CH"/>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62AD7" w14:textId="77777777" w:rsidR="009C7461" w:rsidRDefault="009C7461" w:rsidP="00276BF5">
      <w:pPr>
        <w:spacing w:after="0" w:line="240" w:lineRule="auto"/>
      </w:pPr>
      <w:r>
        <w:separator/>
      </w:r>
    </w:p>
  </w:footnote>
  <w:footnote w:type="continuationSeparator" w:id="0">
    <w:p w14:paraId="5BB3C16E" w14:textId="77777777" w:rsidR="009C7461" w:rsidRDefault="009C7461" w:rsidP="00276BF5">
      <w:pPr>
        <w:spacing w:after="0" w:line="240" w:lineRule="auto"/>
      </w:pPr>
      <w:r>
        <w:continuationSeparator/>
      </w:r>
    </w:p>
  </w:footnote>
  <w:footnote w:type="continuationNotice" w:id="1">
    <w:p w14:paraId="03E5D617" w14:textId="77777777" w:rsidR="009C7461" w:rsidRDefault="009C7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0DE5" w14:textId="7C8DAEB0" w:rsidR="00BA375A" w:rsidRDefault="00BA375A">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6E4689"/>
    <w:multiLevelType w:val="hybridMultilevel"/>
    <w:tmpl w:val="7B0CDB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620C0D"/>
    <w:multiLevelType w:val="hybridMultilevel"/>
    <w:tmpl w:val="13088E8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B6074B8"/>
    <w:multiLevelType w:val="multilevel"/>
    <w:tmpl w:val="EFAE9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B136254"/>
    <w:multiLevelType w:val="multilevel"/>
    <w:tmpl w:val="F952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B785615"/>
    <w:multiLevelType w:val="multilevel"/>
    <w:tmpl w:val="3A1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200EF"/>
    <w:multiLevelType w:val="multilevel"/>
    <w:tmpl w:val="24BA38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70F4A"/>
    <w:multiLevelType w:val="multilevel"/>
    <w:tmpl w:val="5912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43487"/>
    <w:multiLevelType w:val="hybridMultilevel"/>
    <w:tmpl w:val="D7101C86"/>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1" w15:restartNumberingAfterBreak="0">
    <w:nsid w:val="6CA53BE4"/>
    <w:multiLevelType w:val="hybridMultilevel"/>
    <w:tmpl w:val="0A0851A2"/>
    <w:lvl w:ilvl="0" w:tplc="2D3821A0">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F3A5EE6"/>
    <w:multiLevelType w:val="hybridMultilevel"/>
    <w:tmpl w:val="EEEED9B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3"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63342497">
    <w:abstractNumId w:val="4"/>
  </w:num>
  <w:num w:numId="2" w16cid:durableId="592671461">
    <w:abstractNumId w:val="6"/>
  </w:num>
  <w:num w:numId="3" w16cid:durableId="1203439654">
    <w:abstractNumId w:val="11"/>
  </w:num>
  <w:num w:numId="4" w16cid:durableId="992611393">
    <w:abstractNumId w:val="13"/>
  </w:num>
  <w:num w:numId="5" w16cid:durableId="1830904942">
    <w:abstractNumId w:val="0"/>
  </w:num>
  <w:num w:numId="6" w16cid:durableId="1621063730">
    <w:abstractNumId w:val="2"/>
  </w:num>
  <w:num w:numId="7" w16cid:durableId="141041820">
    <w:abstractNumId w:val="9"/>
  </w:num>
  <w:num w:numId="8" w16cid:durableId="1550534120">
    <w:abstractNumId w:val="7"/>
  </w:num>
  <w:num w:numId="9" w16cid:durableId="276523233">
    <w:abstractNumId w:val="5"/>
  </w:num>
  <w:num w:numId="10" w16cid:durableId="1522937716">
    <w:abstractNumId w:val="3"/>
  </w:num>
  <w:num w:numId="11" w16cid:durableId="231045672">
    <w:abstractNumId w:val="1"/>
  </w:num>
  <w:num w:numId="12" w16cid:durableId="1933512193">
    <w:abstractNumId w:val="8"/>
  </w:num>
  <w:num w:numId="13" w16cid:durableId="345062697">
    <w:abstractNumId w:val="10"/>
  </w:num>
  <w:num w:numId="14" w16cid:durableId="1773277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25F9A"/>
    <w:rsid w:val="00043503"/>
    <w:rsid w:val="000453C6"/>
    <w:rsid w:val="00046E1A"/>
    <w:rsid w:val="000500A9"/>
    <w:rsid w:val="00050E72"/>
    <w:rsid w:val="00065436"/>
    <w:rsid w:val="00073E00"/>
    <w:rsid w:val="0008081B"/>
    <w:rsid w:val="000B78CB"/>
    <w:rsid w:val="000C159E"/>
    <w:rsid w:val="000D0B7F"/>
    <w:rsid w:val="000D4E52"/>
    <w:rsid w:val="000F4E2B"/>
    <w:rsid w:val="0010324F"/>
    <w:rsid w:val="0011325E"/>
    <w:rsid w:val="001234CD"/>
    <w:rsid w:val="00125D19"/>
    <w:rsid w:val="0013658F"/>
    <w:rsid w:val="00142DB4"/>
    <w:rsid w:val="00145529"/>
    <w:rsid w:val="001466E7"/>
    <w:rsid w:val="00147430"/>
    <w:rsid w:val="00150491"/>
    <w:rsid w:val="00150774"/>
    <w:rsid w:val="00163580"/>
    <w:rsid w:val="00192327"/>
    <w:rsid w:val="001A2598"/>
    <w:rsid w:val="001A275F"/>
    <w:rsid w:val="001A5B75"/>
    <w:rsid w:val="001C0F7B"/>
    <w:rsid w:val="001E0419"/>
    <w:rsid w:val="001F0E17"/>
    <w:rsid w:val="001F19A5"/>
    <w:rsid w:val="001F58DA"/>
    <w:rsid w:val="00204573"/>
    <w:rsid w:val="00213828"/>
    <w:rsid w:val="00225AAA"/>
    <w:rsid w:val="00242285"/>
    <w:rsid w:val="002535D2"/>
    <w:rsid w:val="00276BF5"/>
    <w:rsid w:val="00287528"/>
    <w:rsid w:val="002974E1"/>
    <w:rsid w:val="002B58C4"/>
    <w:rsid w:val="002C4F2E"/>
    <w:rsid w:val="002E5966"/>
    <w:rsid w:val="002F0045"/>
    <w:rsid w:val="0030281D"/>
    <w:rsid w:val="00312F8F"/>
    <w:rsid w:val="00326F16"/>
    <w:rsid w:val="00333762"/>
    <w:rsid w:val="0034157F"/>
    <w:rsid w:val="00343CD8"/>
    <w:rsid w:val="003778A6"/>
    <w:rsid w:val="0038200E"/>
    <w:rsid w:val="003A3F67"/>
    <w:rsid w:val="003A4D7A"/>
    <w:rsid w:val="003A607E"/>
    <w:rsid w:val="003B059B"/>
    <w:rsid w:val="003B344E"/>
    <w:rsid w:val="003C7067"/>
    <w:rsid w:val="003E5065"/>
    <w:rsid w:val="003F5F16"/>
    <w:rsid w:val="00425D87"/>
    <w:rsid w:val="004278D2"/>
    <w:rsid w:val="00430D42"/>
    <w:rsid w:val="00437F61"/>
    <w:rsid w:val="004413C9"/>
    <w:rsid w:val="00441B2A"/>
    <w:rsid w:val="004768E8"/>
    <w:rsid w:val="0049231E"/>
    <w:rsid w:val="004A407E"/>
    <w:rsid w:val="004A6AA1"/>
    <w:rsid w:val="004B6EE4"/>
    <w:rsid w:val="004C603C"/>
    <w:rsid w:val="004D4A39"/>
    <w:rsid w:val="004E1DFB"/>
    <w:rsid w:val="004F3DDF"/>
    <w:rsid w:val="004F3DEB"/>
    <w:rsid w:val="004F711B"/>
    <w:rsid w:val="00511215"/>
    <w:rsid w:val="0052486F"/>
    <w:rsid w:val="005364F2"/>
    <w:rsid w:val="00552834"/>
    <w:rsid w:val="00573623"/>
    <w:rsid w:val="00585EBB"/>
    <w:rsid w:val="00586D7E"/>
    <w:rsid w:val="00587E71"/>
    <w:rsid w:val="00591898"/>
    <w:rsid w:val="005A41B2"/>
    <w:rsid w:val="005C6C03"/>
    <w:rsid w:val="005D23DD"/>
    <w:rsid w:val="005F4F47"/>
    <w:rsid w:val="00607BE1"/>
    <w:rsid w:val="006176EC"/>
    <w:rsid w:val="00642356"/>
    <w:rsid w:val="00666C95"/>
    <w:rsid w:val="006A7488"/>
    <w:rsid w:val="006C202C"/>
    <w:rsid w:val="006F6272"/>
    <w:rsid w:val="007004EF"/>
    <w:rsid w:val="007030F2"/>
    <w:rsid w:val="00710DCE"/>
    <w:rsid w:val="0072159D"/>
    <w:rsid w:val="007328A9"/>
    <w:rsid w:val="00745E3E"/>
    <w:rsid w:val="007516A9"/>
    <w:rsid w:val="00775A7E"/>
    <w:rsid w:val="0079204B"/>
    <w:rsid w:val="007A1BB2"/>
    <w:rsid w:val="007C2CB9"/>
    <w:rsid w:val="007E289B"/>
    <w:rsid w:val="007E73A8"/>
    <w:rsid w:val="007E7880"/>
    <w:rsid w:val="00801069"/>
    <w:rsid w:val="00846588"/>
    <w:rsid w:val="0085596E"/>
    <w:rsid w:val="008653F5"/>
    <w:rsid w:val="00891EF2"/>
    <w:rsid w:val="00891F91"/>
    <w:rsid w:val="008A6CEB"/>
    <w:rsid w:val="008C45BC"/>
    <w:rsid w:val="008E06EF"/>
    <w:rsid w:val="009411AA"/>
    <w:rsid w:val="00976CFD"/>
    <w:rsid w:val="00983B63"/>
    <w:rsid w:val="00990557"/>
    <w:rsid w:val="009C3256"/>
    <w:rsid w:val="009C5CB2"/>
    <w:rsid w:val="009C7461"/>
    <w:rsid w:val="009D23B9"/>
    <w:rsid w:val="009D5D6E"/>
    <w:rsid w:val="009D73BC"/>
    <w:rsid w:val="009E5F57"/>
    <w:rsid w:val="009F41C4"/>
    <w:rsid w:val="00A032F9"/>
    <w:rsid w:val="00A271E9"/>
    <w:rsid w:val="00A4193A"/>
    <w:rsid w:val="00A47A66"/>
    <w:rsid w:val="00A9392B"/>
    <w:rsid w:val="00AC574E"/>
    <w:rsid w:val="00AD6EEF"/>
    <w:rsid w:val="00AE2093"/>
    <w:rsid w:val="00AF58CF"/>
    <w:rsid w:val="00B0019F"/>
    <w:rsid w:val="00B0219F"/>
    <w:rsid w:val="00B12843"/>
    <w:rsid w:val="00B22BD1"/>
    <w:rsid w:val="00B33C91"/>
    <w:rsid w:val="00B4046A"/>
    <w:rsid w:val="00B438E1"/>
    <w:rsid w:val="00B4390C"/>
    <w:rsid w:val="00B46CA5"/>
    <w:rsid w:val="00B5110F"/>
    <w:rsid w:val="00B51583"/>
    <w:rsid w:val="00B6104F"/>
    <w:rsid w:val="00B64D73"/>
    <w:rsid w:val="00B65C27"/>
    <w:rsid w:val="00B6761F"/>
    <w:rsid w:val="00B8167F"/>
    <w:rsid w:val="00B87CB4"/>
    <w:rsid w:val="00B900BB"/>
    <w:rsid w:val="00B975E5"/>
    <w:rsid w:val="00BA375A"/>
    <w:rsid w:val="00BE1923"/>
    <w:rsid w:val="00BE2D18"/>
    <w:rsid w:val="00BF3FA1"/>
    <w:rsid w:val="00BF6DDB"/>
    <w:rsid w:val="00C257F5"/>
    <w:rsid w:val="00C354ED"/>
    <w:rsid w:val="00C41788"/>
    <w:rsid w:val="00C80732"/>
    <w:rsid w:val="00CA0B39"/>
    <w:rsid w:val="00CC33A0"/>
    <w:rsid w:val="00CD72C7"/>
    <w:rsid w:val="00CE35B7"/>
    <w:rsid w:val="00D10EBB"/>
    <w:rsid w:val="00D13DA2"/>
    <w:rsid w:val="00D2350A"/>
    <w:rsid w:val="00D403C6"/>
    <w:rsid w:val="00D4727D"/>
    <w:rsid w:val="00D75F29"/>
    <w:rsid w:val="00D82157"/>
    <w:rsid w:val="00D957DC"/>
    <w:rsid w:val="00DA1DF0"/>
    <w:rsid w:val="00DA2538"/>
    <w:rsid w:val="00DA6878"/>
    <w:rsid w:val="00DC5910"/>
    <w:rsid w:val="00DC7FF8"/>
    <w:rsid w:val="00DD5319"/>
    <w:rsid w:val="00DE5770"/>
    <w:rsid w:val="00DF71DD"/>
    <w:rsid w:val="00E17DEF"/>
    <w:rsid w:val="00E2272D"/>
    <w:rsid w:val="00E25B9F"/>
    <w:rsid w:val="00E42BA1"/>
    <w:rsid w:val="00E451BB"/>
    <w:rsid w:val="00E57688"/>
    <w:rsid w:val="00E714AA"/>
    <w:rsid w:val="00E77114"/>
    <w:rsid w:val="00E7746E"/>
    <w:rsid w:val="00E778DE"/>
    <w:rsid w:val="00E87E8A"/>
    <w:rsid w:val="00EB0CC8"/>
    <w:rsid w:val="00EB6635"/>
    <w:rsid w:val="00EC6C8A"/>
    <w:rsid w:val="00EF5274"/>
    <w:rsid w:val="00F512D5"/>
    <w:rsid w:val="00F703A2"/>
    <w:rsid w:val="00F77BAC"/>
    <w:rsid w:val="00F80BD8"/>
    <w:rsid w:val="00F9430D"/>
    <w:rsid w:val="00FA0008"/>
    <w:rsid w:val="00FA161B"/>
    <w:rsid w:val="00FA3057"/>
    <w:rsid w:val="00FB4F4F"/>
    <w:rsid w:val="00FC2EC8"/>
    <w:rsid w:val="00FD056D"/>
    <w:rsid w:val="00FF5FD1"/>
    <w:rsid w:val="335858BD"/>
    <w:rsid w:val="65AE01B2"/>
    <w:rsid w:val="7A690C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3C7067"/>
    <w:pPr>
      <w:keepNext/>
      <w:keepLines/>
      <w:numPr>
        <w:numId w:val="3"/>
      </w:numPr>
      <w:spacing w:before="360" w:after="240"/>
      <w:ind w:left="357" w:hanging="357"/>
      <w:jc w:val="both"/>
      <w:outlineLvl w:val="0"/>
    </w:pPr>
    <w:rPr>
      <w:rFonts w:eastAsiaTheme="majorEastAsia" w:cstheme="majorBidi"/>
      <w:b/>
      <w:color w:val="000000" w:themeColor="text1"/>
      <w:sz w:val="28"/>
      <w:szCs w:val="32"/>
    </w:rPr>
  </w:style>
  <w:style w:type="paragraph" w:styleId="Titre2">
    <w:name w:val="heading 2"/>
    <w:basedOn w:val="Normal"/>
    <w:next w:val="Normal"/>
    <w:link w:val="Titre2Car"/>
    <w:uiPriority w:val="9"/>
    <w:unhideWhenUsed/>
    <w:qFormat/>
    <w:rsid w:val="003C70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3C7067"/>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paragraph" w:styleId="Rvision">
    <w:name w:val="Revision"/>
    <w:hidden/>
    <w:uiPriority w:val="99"/>
    <w:semiHidden/>
    <w:rsid w:val="007E73A8"/>
    <w:pPr>
      <w:spacing w:after="0" w:line="240" w:lineRule="auto"/>
    </w:pPr>
    <w:rPr>
      <w:rFonts w:ascii="Arial" w:hAnsi="Arial"/>
    </w:rPr>
  </w:style>
  <w:style w:type="paragraph" w:styleId="Textedebulles">
    <w:name w:val="Balloon Text"/>
    <w:basedOn w:val="Normal"/>
    <w:link w:val="TextedebullesCar"/>
    <w:uiPriority w:val="99"/>
    <w:semiHidden/>
    <w:unhideWhenUsed/>
    <w:rsid w:val="007E73A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E73A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7E73A8"/>
    <w:rPr>
      <w:sz w:val="16"/>
      <w:szCs w:val="16"/>
    </w:rPr>
  </w:style>
  <w:style w:type="paragraph" w:styleId="Commentaire">
    <w:name w:val="annotation text"/>
    <w:basedOn w:val="Normal"/>
    <w:link w:val="CommentaireCar"/>
    <w:uiPriority w:val="99"/>
    <w:semiHidden/>
    <w:unhideWhenUsed/>
    <w:rsid w:val="007E73A8"/>
    <w:pPr>
      <w:spacing w:line="240" w:lineRule="auto"/>
    </w:pPr>
    <w:rPr>
      <w:sz w:val="20"/>
      <w:szCs w:val="20"/>
    </w:rPr>
  </w:style>
  <w:style w:type="character" w:customStyle="1" w:styleId="CommentaireCar">
    <w:name w:val="Commentaire Car"/>
    <w:basedOn w:val="Policepardfaut"/>
    <w:link w:val="Commentaire"/>
    <w:uiPriority w:val="99"/>
    <w:semiHidden/>
    <w:rsid w:val="007E73A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E73A8"/>
    <w:rPr>
      <w:b/>
      <w:bCs/>
    </w:rPr>
  </w:style>
  <w:style w:type="character" w:customStyle="1" w:styleId="ObjetducommentaireCar">
    <w:name w:val="Objet du commentaire Car"/>
    <w:basedOn w:val="CommentaireCar"/>
    <w:link w:val="Objetducommentaire"/>
    <w:uiPriority w:val="99"/>
    <w:semiHidden/>
    <w:rsid w:val="007E73A8"/>
    <w:rPr>
      <w:rFonts w:ascii="Arial" w:hAnsi="Arial"/>
      <w:b/>
      <w:bCs/>
      <w:sz w:val="20"/>
      <w:szCs w:val="20"/>
    </w:rPr>
  </w:style>
  <w:style w:type="character" w:customStyle="1" w:styleId="Titre2Car">
    <w:name w:val="Titre 2 Car"/>
    <w:basedOn w:val="Policepardfaut"/>
    <w:link w:val="Titre2"/>
    <w:uiPriority w:val="9"/>
    <w:rsid w:val="003C706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C706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3C7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0207">
      <w:bodyDiv w:val="1"/>
      <w:marLeft w:val="0"/>
      <w:marRight w:val="0"/>
      <w:marTop w:val="0"/>
      <w:marBottom w:val="0"/>
      <w:divBdr>
        <w:top w:val="none" w:sz="0" w:space="0" w:color="auto"/>
        <w:left w:val="none" w:sz="0" w:space="0" w:color="auto"/>
        <w:bottom w:val="none" w:sz="0" w:space="0" w:color="auto"/>
        <w:right w:val="none" w:sz="0" w:space="0" w:color="auto"/>
      </w:divBdr>
    </w:div>
    <w:div w:id="1611551687">
      <w:bodyDiv w:val="1"/>
      <w:marLeft w:val="0"/>
      <w:marRight w:val="0"/>
      <w:marTop w:val="0"/>
      <w:marBottom w:val="0"/>
      <w:divBdr>
        <w:top w:val="none" w:sz="0" w:space="0" w:color="auto"/>
        <w:left w:val="none" w:sz="0" w:space="0" w:color="auto"/>
        <w:bottom w:val="none" w:sz="0" w:space="0" w:color="auto"/>
        <w:right w:val="none" w:sz="0" w:space="0" w:color="auto"/>
      </w:divBdr>
    </w:div>
    <w:div w:id="17374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5CB2C-78E4-4C81-A418-2D3AB386D96F}">
  <ds:schemaRefs>
    <ds:schemaRef ds:uri="http://schemas.openxmlformats.org/officeDocument/2006/bibliography"/>
  </ds:schemaRefs>
</ds:datastoreItem>
</file>

<file path=customXml/itemProps2.xml><?xml version="1.0" encoding="utf-8"?>
<ds:datastoreItem xmlns:ds="http://schemas.openxmlformats.org/officeDocument/2006/customXml" ds:itemID="{758A20FA-B3A9-4315-8E57-2D15A8476D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1A691-729A-4CE3-897B-60B7F0969AB0}">
  <ds:schemaRefs>
    <ds:schemaRef ds:uri="http://schemas.microsoft.com/sharepoint/v3/contenttype/forms"/>
  </ds:schemaRefs>
</ds:datastoreItem>
</file>

<file path=customXml/itemProps4.xml><?xml version="1.0" encoding="utf-8"?>
<ds:datastoreItem xmlns:ds="http://schemas.openxmlformats.org/officeDocument/2006/customXml" ds:itemID="{9DF41D25-F388-4382-B715-AB8AD214F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3646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Huet Nicolas</cp:lastModifiedBy>
  <cp:revision>78</cp:revision>
  <dcterms:created xsi:type="dcterms:W3CDTF">2024-02-20T14:06:00Z</dcterms:created>
  <dcterms:modified xsi:type="dcterms:W3CDTF">2024-11-11T10:55:00Z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fcb663a3-d1de-49ab-a89a-01440d08932e</vt:lpwstr>
  </property>
</Properties>
</file>